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01E77">
      <w:pPr>
        <w:pStyle w:val="Nadpis1"/>
        <w:rPr>
          <w:rFonts w:eastAsia="Times New Roman"/>
        </w:rPr>
      </w:pPr>
      <w:r>
        <w:rPr>
          <w:rFonts w:eastAsia="Times New Roman"/>
        </w:rPr>
        <w:t>SU-MD-su_117</w:t>
      </w:r>
    </w:p>
    <w:p w:rsidR="00000000" w:rsidRDefault="00501E77">
      <w:pPr>
        <w:pStyle w:val="fstitlepage"/>
        <w:jc w:val="center"/>
      </w:pPr>
      <w:r>
        <w:rPr>
          <w:rStyle w:val="inline-comment-marker"/>
          <w:color w:val="000000"/>
          <w:sz w:val="50"/>
          <w:szCs w:val="50"/>
        </w:rPr>
        <w:t>Digitálny ekosystém inklúzi</w:t>
      </w:r>
      <w:r>
        <w:rPr>
          <w:rStyle w:val="inline-comment-marker"/>
          <w:color w:val="000000"/>
          <w:sz w:val="50"/>
          <w:szCs w:val="50"/>
        </w:rPr>
        <w:t>e</w:t>
      </w:r>
      <w:r>
        <w:rPr>
          <w:rStyle w:val="su2header"/>
          <w:color w:val="000000"/>
          <w:sz w:val="50"/>
          <w:szCs w:val="50"/>
        </w:rPr>
        <w:t xml:space="preserve"> </w:t>
      </w:r>
    </w:p>
    <w:p w:rsidR="00000000" w:rsidRDefault="00501E77">
      <w:pPr>
        <w:pStyle w:val="Normlnywebov"/>
      </w:pPr>
      <w: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tblGrid>
      <w:tr w:rsidR="00000000">
        <w:trPr>
          <w:divId w:val="225411051"/>
          <w:cantSplit/>
          <w:tblCellSpacing w:w="15" w:type="dxa"/>
        </w:trPr>
        <w:tc>
          <w:tcPr>
            <w:tcW w:w="0" w:type="auto"/>
            <w:vAlign w:val="center"/>
            <w:hideMark/>
          </w:tcPr>
          <w:p w:rsidR="00000000" w:rsidRDefault="00501E77"/>
        </w:tc>
      </w:tr>
      <w:tr w:rsidR="00000000">
        <w:trPr>
          <w:divId w:val="225411051"/>
          <w:cantSplit/>
          <w:tblCellSpacing w:w="15" w:type="dxa"/>
        </w:trPr>
        <w:tc>
          <w:tcPr>
            <w:tcW w:w="0" w:type="auto"/>
            <w:vAlign w:val="center"/>
            <w:hideMark/>
          </w:tcPr>
          <w:p w:rsidR="00000000" w:rsidRDefault="00501E77">
            <w:pPr>
              <w:pStyle w:val="Normlnywebov"/>
            </w:pPr>
            <w:r>
              <w:t xml:space="preserve">dátum </w:t>
            </w:r>
            <w:r>
              <w:br/>
              <w:t>Tento dokument obsahuje x strán</w:t>
            </w:r>
          </w:p>
        </w:tc>
      </w:tr>
      <w:tr w:rsidR="00000000">
        <w:trPr>
          <w:divId w:val="225411051"/>
          <w:cantSplit/>
          <w:tblCellSpacing w:w="15" w:type="dxa"/>
        </w:trPr>
        <w:tc>
          <w:tcPr>
            <w:tcW w:w="0" w:type="auto"/>
            <w:vAlign w:val="center"/>
            <w:hideMark/>
          </w:tcPr>
          <w:p w:rsidR="00000000" w:rsidRDefault="00501E77"/>
        </w:tc>
      </w:tr>
      <w:tr w:rsidR="00000000">
        <w:trPr>
          <w:divId w:val="225411051"/>
          <w:cantSplit/>
          <w:tblCellSpacing w:w="15" w:type="dxa"/>
        </w:trPr>
        <w:tc>
          <w:tcPr>
            <w:tcW w:w="0" w:type="auto"/>
            <w:vAlign w:val="center"/>
            <w:hideMark/>
          </w:tcPr>
          <w:p w:rsidR="00000000" w:rsidRDefault="00501E77">
            <w:pPr>
              <w:rPr>
                <w:rFonts w:eastAsia="Times New Roman"/>
                <w:sz w:val="20"/>
                <w:szCs w:val="20"/>
              </w:rPr>
            </w:pPr>
          </w:p>
        </w:tc>
      </w:tr>
    </w:tbl>
    <w:p w:rsidR="00000000" w:rsidRDefault="00501E77">
      <w:pPr>
        <w:pStyle w:val="Normlnywebov"/>
      </w:pPr>
      <w:r>
        <w:t> </w:t>
      </w:r>
    </w:p>
    <w:p w:rsidR="00000000" w:rsidRDefault="00501E77">
      <w:pPr>
        <w:pStyle w:val="Normlnywebov"/>
      </w:pPr>
      <w:r>
        <w:br/>
      </w:r>
      <w:r>
        <w:rPr>
          <w:rStyle w:val="inline-comment-marker"/>
          <w:b/>
          <w:bCs/>
        </w:rPr>
        <w:t>Obsa</w:t>
      </w:r>
      <w:r>
        <w:rPr>
          <w:rStyle w:val="inline-comment-marker"/>
          <w:b/>
          <w:bCs/>
        </w:rPr>
        <w:t>h</w:t>
      </w:r>
      <w:r>
        <w:t xml:space="preserve"> </w:t>
      </w:r>
      <w:r>
        <w:br/>
      </w:r>
      <w:hyperlink w:anchor="SU-MD-su_117-_Toc413660701" w:history="1">
        <w:r>
          <w:rPr>
            <w:rStyle w:val="Hypertextovprepojenie"/>
          </w:rPr>
          <w:t xml:space="preserve">1 Základné informácie </w:t>
        </w:r>
      </w:hyperlink>
      <w:r>
        <w:br/>
      </w:r>
      <w:hyperlink w:anchor="SU-MD-su_117-_Toc413660702" w:history="1">
        <w:r>
          <w:rPr>
            <w:rStyle w:val="Hypertextovprepojenie"/>
          </w:rPr>
          <w:t xml:space="preserve">1.1 Prehľad </w:t>
        </w:r>
      </w:hyperlink>
      <w:r>
        <w:br/>
      </w:r>
      <w:hyperlink w:anchor="SU-MD-su_117-_Toc413660703" w:history="1">
        <w:r>
          <w:rPr>
            <w:rStyle w:val="Hypertextovprepojenie"/>
          </w:rPr>
          <w:t xml:space="preserve">1.2 Dôvod </w:t>
        </w:r>
      </w:hyperlink>
      <w:r>
        <w:br/>
      </w:r>
      <w:hyperlink w:anchor="SU-MD-su_117-_Toc413660704" w:history="1">
        <w:r>
          <w:rPr>
            <w:rStyle w:val="Hypertextovprepojenie"/>
          </w:rPr>
          <w:t xml:space="preserve">1.3 Rozsah </w:t>
        </w:r>
      </w:hyperlink>
      <w:r>
        <w:br/>
      </w:r>
      <w:hyperlink w:anchor="SU-MD-su_117-_Toc413660705" w:history="1">
        <w:r>
          <w:rPr>
            <w:rStyle w:val="Hypertextovprepojenie"/>
          </w:rPr>
          <w:t xml:space="preserve">1.4 Použité skratky a značky </w:t>
        </w:r>
      </w:hyperlink>
      <w:r>
        <w:br/>
      </w:r>
      <w:hyperlink w:anchor="SU-MD-su_117-_Toc413660706" w:history="1">
        <w:r>
          <w:rPr>
            <w:rStyle w:val="Hypertextovprepojenie"/>
          </w:rPr>
          <w:t>2 Manaž</w:t>
        </w:r>
        <w:r>
          <w:rPr>
            <w:rStyle w:val="Hypertextovprepojenie"/>
          </w:rPr>
          <w:t xml:space="preserve">érske zhrnutie </w:t>
        </w:r>
      </w:hyperlink>
      <w:r>
        <w:br/>
      </w:r>
      <w:hyperlink w:anchor="SU-MD-su_117-_Toc413660707" w:history="1">
        <w:r>
          <w:rPr>
            <w:rStyle w:val="Hypertextovprepojenie"/>
          </w:rPr>
          <w:t xml:space="preserve">2.1 Motivácia </w:t>
        </w:r>
      </w:hyperlink>
      <w:r>
        <w:br/>
      </w:r>
      <w:hyperlink w:anchor="SU-MD-su_117-_Toc413660708" w:history="1">
        <w:r>
          <w:rPr>
            <w:rStyle w:val="Hypertextovprepojenie"/>
          </w:rPr>
          <w:t xml:space="preserve">2.2 Popis aktuálneho stavu </w:t>
        </w:r>
      </w:hyperlink>
      <w:r>
        <w:br/>
      </w:r>
      <w:hyperlink w:anchor="SU-MD-su_117-_Toc413660709" w:history="1">
        <w:r>
          <w:rPr>
            <w:rStyle w:val="Hypertextovprepojenie"/>
          </w:rPr>
          <w:t xml:space="preserve">2.2.1 Legislatíva </w:t>
        </w:r>
      </w:hyperlink>
      <w:r>
        <w:br/>
      </w:r>
      <w:hyperlink w:anchor="SU-MD-su_117-_Toc413660710" w:history="1">
        <w:r>
          <w:rPr>
            <w:rStyle w:val="Hypertextovprepojenie"/>
          </w:rPr>
          <w:t xml:space="preserve">2.2.2 Architektúra </w:t>
        </w:r>
      </w:hyperlink>
      <w:r>
        <w:br/>
      </w:r>
      <w:hyperlink w:anchor="SU-MD-su_117-_Toc413660711" w:history="1">
        <w:r>
          <w:rPr>
            <w:rStyle w:val="Hypertextovprepojenie"/>
          </w:rPr>
          <w:t xml:space="preserve">2.2.3 Prevádzka </w:t>
        </w:r>
      </w:hyperlink>
      <w:r>
        <w:br/>
      </w:r>
      <w:hyperlink w:anchor="SU-MD-su_117-_Toc413660712" w:history="1">
        <w:r>
          <w:rPr>
            <w:rStyle w:val="Hypertextovprepojenie"/>
          </w:rPr>
          <w:t xml:space="preserve">2.3 Alternatívne riešenia </w:t>
        </w:r>
      </w:hyperlink>
      <w:r>
        <w:br/>
      </w:r>
      <w:hyperlink w:anchor="SU-MD-su_117-_Toc413660713" w:history="1">
        <w:r>
          <w:rPr>
            <w:rStyle w:val="Hypertextovprepojenie"/>
          </w:rPr>
          <w:t>2.3.1 Alternatíva A – „Zach</w:t>
        </w:r>
        <w:r>
          <w:rPr>
            <w:rStyle w:val="Hypertextovprepojenie"/>
          </w:rPr>
          <w:t xml:space="preserve">ovanie súčasného stavu" </w:t>
        </w:r>
      </w:hyperlink>
      <w:r>
        <w:br/>
      </w:r>
      <w:hyperlink w:anchor="SU-MD-su_117-_Toc413660714" w:history="1">
        <w:r>
          <w:rPr>
            <w:rStyle w:val="Hypertextovprepojenie"/>
          </w:rPr>
          <w:t>2.3.2 Alternatíva B - „Rozšírenie existujúceho vzdelávacieho a certifikačného rámca"</w:t>
        </w:r>
      </w:hyperlink>
    </w:p>
    <w:p w:rsidR="00000000" w:rsidRDefault="00501E77">
      <w:pPr>
        <w:pStyle w:val="Normlnywebov"/>
      </w:pPr>
      <w:hyperlink w:anchor="SU-MD-su_117-_Toc413660713" w:history="1">
        <w:r>
          <w:rPr>
            <w:rStyle w:val="Hypertextovprepojenie"/>
          </w:rPr>
          <w:t>2.3.3 Alternatíva C - </w:t>
        </w:r>
        <w:r>
          <w:rPr>
            <w:rStyle w:val="Hypertextovprepojenie"/>
          </w:rPr>
          <w:t>„Systém pre certifikáciu digitálnych kompetencií"</w:t>
        </w:r>
      </w:hyperlink>
    </w:p>
    <w:p w:rsidR="00000000" w:rsidRDefault="00501E77">
      <w:pPr>
        <w:pStyle w:val="Normlnywebov"/>
      </w:pPr>
      <w:hyperlink w:anchor="SU-MD-su_117-_Toc413660716" w:history="1">
        <w:r>
          <w:rPr>
            <w:rStyle w:val="Hypertextovprepojenie"/>
          </w:rPr>
          <w:t>2.3.4 Alternatíva D - „Systém pre certifikáciu a rozvoj digitálnych kompetencií"</w:t>
        </w:r>
      </w:hyperlink>
    </w:p>
    <w:p w:rsidR="00000000" w:rsidRDefault="00501E77">
      <w:pPr>
        <w:pStyle w:val="Normlnywebov"/>
      </w:pPr>
      <w:hyperlink w:anchor="SU-MD-su_117-_Toc413660713" w:history="1">
        <w:r>
          <w:rPr>
            <w:rStyle w:val="Hypertextovprepojenie"/>
          </w:rPr>
          <w:t>2.3.5 Alternatíva E - „Syst</w:t>
        </w:r>
        <w:r>
          <w:rPr>
            <w:rStyle w:val="Hypertextovprepojenie"/>
          </w:rPr>
          <w:t>ém centrálnej certifikácie úrovní digitálnych kompetencií"</w:t>
        </w:r>
      </w:hyperlink>
    </w:p>
    <w:p w:rsidR="00000000" w:rsidRDefault="00501E77">
      <w:pPr>
        <w:pStyle w:val="Normlnywebov"/>
      </w:pPr>
      <w:hyperlink w:anchor="SU-MD-su_117-_Toc413660718" w:history="1">
        <w:r>
          <w:rPr>
            <w:rStyle w:val="Hypertextovprepojenie"/>
          </w:rPr>
          <w:t>2.3.6 Alternatíva F - "Minimalistický variant systému certifikácie úrovní digitálnych kompetencií"</w:t>
        </w:r>
      </w:hyperlink>
    </w:p>
    <w:p w:rsidR="00000000" w:rsidRDefault="00501E77">
      <w:pPr>
        <w:pStyle w:val="Normlnywebov"/>
      </w:pPr>
      <w:hyperlink w:anchor="SU-MD-su_117-_Toc413660715" w:history="1">
        <w:r>
          <w:rPr>
            <w:rStyle w:val="Hypertextovprepojenie"/>
          </w:rPr>
          <w:t xml:space="preserve">2.4 Popis budúceho stavu </w:t>
        </w:r>
      </w:hyperlink>
      <w:r>
        <w:br/>
      </w:r>
      <w:hyperlink w:anchor="SU-MD-su_117-_Toc413660716" w:history="1">
        <w:r>
          <w:rPr>
            <w:rStyle w:val="Hypertextovprepojenie"/>
          </w:rPr>
          <w:t xml:space="preserve">2.4.1 Legislatíva </w:t>
        </w:r>
      </w:hyperlink>
      <w:r>
        <w:br/>
      </w:r>
      <w:hyperlink w:anchor="SU-MD-su_117-_Toc413660717" w:history="1">
        <w:r>
          <w:rPr>
            <w:rStyle w:val="Hypertextovprepojenie"/>
          </w:rPr>
          <w:t xml:space="preserve">2.4.2 Architektúra </w:t>
        </w:r>
      </w:hyperlink>
      <w:r>
        <w:br/>
      </w:r>
      <w:hyperlink w:anchor="SU-MD-su_117-_Toc413660718" w:history="1">
        <w:r>
          <w:rPr>
            <w:rStyle w:val="Hypertextovprepojenie"/>
          </w:rPr>
          <w:t xml:space="preserve">2.4.3 Prevádzka </w:t>
        </w:r>
      </w:hyperlink>
      <w:r>
        <w:br/>
      </w:r>
      <w:hyperlink w:anchor="SU-MD-su_117-_Toc413660719" w:history="1">
        <w:r>
          <w:rPr>
            <w:rStyle w:val="Hypertextovprepojenie"/>
          </w:rPr>
          <w:t xml:space="preserve">2.4.4 Ekonomická analýza </w:t>
        </w:r>
      </w:hyperlink>
    </w:p>
    <w:p w:rsidR="00000000" w:rsidRDefault="00501E77">
      <w:pPr>
        <w:pStyle w:val="Normlnywebov"/>
      </w:pPr>
      <w:r>
        <w:br/>
      </w:r>
      <w:r>
        <w:br/>
      </w:r>
      <w:r>
        <w:rPr>
          <w:rStyle w:val="inline-comment-marker"/>
          <w:b/>
          <w:bCs/>
        </w:rPr>
        <w:t>Zoznam tabulie</w:t>
      </w:r>
      <w:r>
        <w:rPr>
          <w:rStyle w:val="inline-comment-marker"/>
          <w:b/>
          <w:bCs/>
        </w:rPr>
        <w:t>k</w:t>
      </w:r>
      <w:r>
        <w:t xml:space="preserve"> </w:t>
      </w:r>
      <w:r>
        <w:br/>
      </w:r>
      <w:hyperlink w:anchor="SU-MD-su_117-_Toc413660678" w:history="1">
        <w:r>
          <w:rPr>
            <w:rStyle w:val="Hypertextovprepojenie"/>
          </w:rPr>
          <w:t xml:space="preserve">Tabuľka 1 Základné informácie - zhrnutie </w:t>
        </w:r>
      </w:hyperlink>
      <w:r>
        <w:br/>
      </w:r>
      <w:hyperlink w:anchor="SU-MD-su_117-_Toc413660679" w:history="1">
        <w:r>
          <w:rPr>
            <w:rStyle w:val="Hypertextovprepojenie"/>
          </w:rPr>
          <w:t xml:space="preserve">Tabuľka 2 Skratky a značky </w:t>
        </w:r>
      </w:hyperlink>
      <w:r>
        <w:br/>
      </w:r>
      <w:hyperlink w:anchor="SU-MD-su_117-_Toc413660680" w:history="1">
        <w:r>
          <w:rPr>
            <w:rStyle w:val="Hypertextovprepojenie"/>
          </w:rPr>
          <w:t xml:space="preserve">Tabuľka 3 Motivácia – budúci stav </w:t>
        </w:r>
      </w:hyperlink>
      <w:r>
        <w:br/>
      </w:r>
      <w:hyperlink w:anchor="SU-MD-su_117-_Toc413660681" w:history="1">
        <w:r>
          <w:rPr>
            <w:rStyle w:val="Hypertextovprepojenie"/>
          </w:rPr>
          <w:t xml:space="preserve">Tabuľka 4 Legislatíva – aktuálny stav </w:t>
        </w:r>
      </w:hyperlink>
      <w:r>
        <w:br/>
      </w:r>
      <w:hyperlink w:anchor="SU-MD-su_117-_Toc413660682" w:history="1">
        <w:r>
          <w:rPr>
            <w:rStyle w:val="Hypertextovprepojenie"/>
          </w:rPr>
          <w:t xml:space="preserve">Tabuľka 5 Biznis architektúra - aktuálny stav </w:t>
        </w:r>
      </w:hyperlink>
      <w:r>
        <w:br/>
      </w:r>
      <w:hyperlink w:anchor="SU-MD-su_117-_Toc413660683" w:history="1">
        <w:r>
          <w:rPr>
            <w:rStyle w:val="Hypertextovprepojenie"/>
          </w:rPr>
          <w:t xml:space="preserve">Tabuľka 6 Architektúra informačných systémov - aktuálny stav </w:t>
        </w:r>
      </w:hyperlink>
      <w:r>
        <w:br/>
      </w:r>
      <w:hyperlink w:anchor="SU-MD-su_117-_Toc413660684" w:history="1">
        <w:r>
          <w:rPr>
            <w:rStyle w:val="Hypertextovprepojenie"/>
          </w:rPr>
          <w:t xml:space="preserve">Tabuľka 7 Technologická architektúra - aktuálny stav </w:t>
        </w:r>
      </w:hyperlink>
      <w:r>
        <w:br/>
      </w:r>
      <w:hyperlink w:anchor="SU-MD-su_117-_Toc413660685" w:history="1">
        <w:r>
          <w:rPr>
            <w:rStyle w:val="Hypertextovprepojenie"/>
          </w:rPr>
          <w:t xml:space="preserve">Tabuľka 8 Bezpečnostná architektúra - aktuálny stav </w:t>
        </w:r>
      </w:hyperlink>
      <w:r>
        <w:br/>
      </w:r>
      <w:hyperlink w:anchor="SU-MD-su_117-_Toc413660686" w:history="1">
        <w:r>
          <w:rPr>
            <w:rStyle w:val="Hypertextovprepojenie"/>
          </w:rPr>
          <w:t xml:space="preserve">Tabuľka 9 Prevádzka - aktuálny stav </w:t>
        </w:r>
      </w:hyperlink>
      <w:r>
        <w:br/>
      </w:r>
      <w:hyperlink w:anchor="SU-MD-su_117-_Toc413660687" w:history="1">
        <w:r>
          <w:rPr>
            <w:rStyle w:val="Hypertextovprepojenie"/>
          </w:rPr>
          <w:t xml:space="preserve">Tabuľka 10 Legislatíva - budúci stav </w:t>
        </w:r>
      </w:hyperlink>
      <w:r>
        <w:br/>
      </w:r>
      <w:hyperlink w:anchor="SU-MD-su_117-_Toc413660688" w:history="1">
        <w:r>
          <w:rPr>
            <w:rStyle w:val="Hypertextovprepojenie"/>
          </w:rPr>
          <w:t xml:space="preserve">Tabuľka 11 Biznis architektúra – budúci stav </w:t>
        </w:r>
      </w:hyperlink>
      <w:r>
        <w:br/>
      </w:r>
      <w:hyperlink w:anchor="SU-MD-su_117-_Toc413660689" w:history="1">
        <w:r>
          <w:rPr>
            <w:rStyle w:val="Hypertextovprepojenie"/>
          </w:rPr>
          <w:t xml:space="preserve">Tabuľka 12 Architektúra informačných systémov - budúci stav </w:t>
        </w:r>
      </w:hyperlink>
      <w:r>
        <w:br/>
      </w:r>
      <w:hyperlink w:anchor="SU-MD-su_117-_Toc413660690" w:history="1">
        <w:r>
          <w:rPr>
            <w:rStyle w:val="Hypertextovprepojenie"/>
          </w:rPr>
          <w:t>Tabuľka 13 Technologická archite</w:t>
        </w:r>
        <w:r>
          <w:rPr>
            <w:rStyle w:val="Hypertextovprepojenie"/>
          </w:rPr>
          <w:t xml:space="preserve">ktúra - budúci stav </w:t>
        </w:r>
      </w:hyperlink>
      <w:r>
        <w:br/>
      </w:r>
      <w:hyperlink w:anchor="SU-MD-su_117-_Toc413660691" w:history="1">
        <w:r>
          <w:rPr>
            <w:rStyle w:val="Hypertextovprepojenie"/>
          </w:rPr>
          <w:t xml:space="preserve">Tabuľka 14 Implementácia a migrácia </w:t>
        </w:r>
      </w:hyperlink>
      <w:r>
        <w:br/>
      </w:r>
      <w:hyperlink w:anchor="SU-MD-su_117-_Toc413660692" w:history="1">
        <w:r>
          <w:rPr>
            <w:rStyle w:val="Hypertextovprepojenie"/>
          </w:rPr>
          <w:t xml:space="preserve">Tabuľka 15 Bezpečnostná architektúra - budúci stav </w:t>
        </w:r>
      </w:hyperlink>
      <w:r>
        <w:br/>
      </w:r>
      <w:hyperlink w:anchor="SU-MD-su_117-_Toc413660693" w:history="1">
        <w:r>
          <w:rPr>
            <w:rStyle w:val="Hypertextovprepojenie"/>
          </w:rPr>
          <w:t xml:space="preserve">Tabuľka 16 Prevádzka - budúci stav </w:t>
        </w:r>
      </w:hyperlink>
      <w:r>
        <w:br/>
      </w:r>
      <w:hyperlink w:anchor="SU-MD-su_117-_Toc413660694" w:history="1">
        <w:r>
          <w:rPr>
            <w:rStyle w:val="Hypertextovprepojenie"/>
          </w:rPr>
          <w:t>Tabuľka 17 Ekonomická analýza - budúci stav</w:t>
        </w:r>
      </w:hyperlink>
    </w:p>
    <w:p w:rsidR="00000000" w:rsidRDefault="00501E77">
      <w:pPr>
        <w:pStyle w:val="zcontents"/>
      </w:pPr>
      <w:r>
        <w:rPr>
          <w:rStyle w:val="Siln"/>
        </w:rPr>
        <w:t>Zoznam obrázkov</w:t>
      </w:r>
    </w:p>
    <w:p w:rsidR="00000000" w:rsidRDefault="00501E77">
      <w:pPr>
        <w:pStyle w:val="Normlnywebov"/>
      </w:pPr>
      <w:r>
        <w:t>Obrázok 0 Vzájomné prepojenia a synergie projektov</w:t>
      </w:r>
    </w:p>
    <w:p w:rsidR="00000000" w:rsidRDefault="00501E77">
      <w:pPr>
        <w:pStyle w:val="Normlnywebov"/>
      </w:pPr>
      <w:r>
        <w:t>Obrázok 1 Obsah alternatív D, C, E a F</w:t>
      </w:r>
    </w:p>
    <w:p w:rsidR="00000000" w:rsidRDefault="00501E77">
      <w:pPr>
        <w:pStyle w:val="Normlnywebov"/>
      </w:pPr>
      <w:r>
        <w:t>Obrázok 2 </w:t>
      </w:r>
      <w:r>
        <w:t>Príklad súčinnosti partnerov projektu</w:t>
      </w:r>
    </w:p>
    <w:p w:rsidR="00000000" w:rsidRDefault="00501E77">
      <w:pPr>
        <w:pStyle w:val="Normlnywebov"/>
      </w:pPr>
      <w:r>
        <w:t>Obrázok 3 Zhrnutie projektu</w:t>
      </w:r>
    </w:p>
    <w:p w:rsidR="00000000" w:rsidRDefault="00501E77">
      <w:pPr>
        <w:pStyle w:val="Normlnywebov"/>
      </w:pPr>
      <w:r>
        <w:t>Obrázok 4 Motivačná architektúra </w:t>
      </w:r>
    </w:p>
    <w:p w:rsidR="00000000" w:rsidRDefault="00501E77">
      <w:pPr>
        <w:pStyle w:val="Normlnywebov"/>
      </w:pPr>
      <w:r>
        <w:t>Obrázok 5 Cieľ projektu</w:t>
      </w:r>
    </w:p>
    <w:p w:rsidR="00000000" w:rsidRDefault="00501E77">
      <w:pPr>
        <w:pStyle w:val="Normlnywebov"/>
      </w:pPr>
      <w:r>
        <w:t>Obrázok 6 Budúci stav biznis architektúry  </w:t>
      </w:r>
    </w:p>
    <w:p w:rsidR="00000000" w:rsidRDefault="00501E77">
      <w:pPr>
        <w:pStyle w:val="Normlnywebov"/>
      </w:pPr>
      <w:r>
        <w:t>Obrázok 7 Aplikačné moduly IS DEI</w:t>
      </w:r>
    </w:p>
    <w:p w:rsidR="00000000" w:rsidRDefault="00501E77">
      <w:pPr>
        <w:pStyle w:val="Normlnywebov"/>
      </w:pPr>
      <w:r>
        <w:t>Obrázok 8 Aplikačná architektúra IS DEI</w:t>
      </w:r>
    </w:p>
    <w:p w:rsidR="00000000" w:rsidRDefault="00501E77">
      <w:pPr>
        <w:pStyle w:val="Normlnywebov"/>
      </w:pPr>
      <w:r>
        <w:t>Obrázok 9 Služ</w:t>
      </w:r>
      <w:r>
        <w:t>by IaaS a PaaS, ktoré bude využívať DEI </w:t>
      </w:r>
    </w:p>
    <w:p w:rsidR="00000000" w:rsidRDefault="00501E77">
      <w:pPr>
        <w:pStyle w:val="Normlnywebov"/>
      </w:pPr>
      <w:r>
        <w:t>Obrázok 10 Navrhovaný postup implementácie DEI</w:t>
      </w:r>
    </w:p>
    <w:p w:rsidR="00000000" w:rsidRDefault="00501E77">
      <w:pPr>
        <w:pStyle w:val="Normlnywebov"/>
      </w:pPr>
      <w:r>
        <w:t>Obrázok 11 Požadované služby vládneho cloudu IaaS a PaaS (cieľový stav) </w:t>
      </w:r>
    </w:p>
    <w:p w:rsidR="00000000" w:rsidRDefault="00501E77">
      <w:pPr>
        <w:pStyle w:val="Nadpis1"/>
        <w:rPr>
          <w:rFonts w:eastAsia="Times New Roman"/>
        </w:rPr>
      </w:pPr>
      <w:r>
        <w:rPr>
          <w:rStyle w:val="inline-comment-marker"/>
          <w:rFonts w:eastAsia="Times New Roman"/>
        </w:rPr>
        <w:t>Základné informáci</w:t>
      </w:r>
      <w:r>
        <w:rPr>
          <w:rStyle w:val="inline-comment-marker"/>
          <w:rFonts w:eastAsia="Times New Roman"/>
        </w:rPr>
        <w:t>e</w:t>
      </w:r>
    </w:p>
    <w:p w:rsidR="00000000" w:rsidRDefault="00501E77">
      <w:pPr>
        <w:pStyle w:val="Nadpis2"/>
        <w:rPr>
          <w:rFonts w:eastAsia="Times New Roman"/>
        </w:rPr>
      </w:pPr>
      <w:r>
        <w:rPr>
          <w:rFonts w:eastAsia="Times New Roman"/>
        </w:rPr>
        <w:t>Prehľad</w:t>
      </w:r>
    </w:p>
    <w:p w:rsidR="00000000" w:rsidRDefault="00501E77">
      <w:pPr>
        <w:pStyle w:val="Normlnywebov"/>
      </w:pPr>
      <w:r>
        <w:rPr>
          <w:rStyle w:val="Zvraznenie"/>
        </w:rPr>
        <w:t>Kto tvorí štúdiu, ktoré organizácie budú implementovať projekt, ide</w:t>
      </w:r>
      <w:r>
        <w:rPr>
          <w:rStyle w:val="Zvraznenie"/>
        </w:rPr>
        <w:t>ntifikácia organizácii v zriaďovateľskej pôsobnosti, identifikácia príslušného úseku verejnej správy, agendy verejnej správy a životnej situácie.</w:t>
      </w:r>
    </w:p>
    <w:p w:rsidR="00000000" w:rsidRDefault="00501E77">
      <w:pPr>
        <w:pStyle w:val="Normlnywebov"/>
      </w:pPr>
      <w:r>
        <w:t>Štúdiu uskutočniteľnosti „Digitálny ekosystém inklúzie“ (DEI) vypracoval Úrad podpredsedu vlády SR pre investí</w:t>
      </w:r>
      <w:r>
        <w:t>cie a informatizáciu (ÚPPVII), ktorý bude implementovať projekt v spolupráci s centrálnou metodicko-procesnou autoritou, ktorá vznikne za účelom zabezpečenia realizácie projektu. ÚPPVII bude pre účely jednotného postupu zároveň prijímateľom nenávratného fi</w:t>
      </w:r>
      <w:r>
        <w:t>nančného príspevku (NFP</w:t>
      </w:r>
      <w:r>
        <w:t>)</w:t>
      </w:r>
      <w:r>
        <w:rPr>
          <w:rStyle w:val="inline-comment-marker"/>
        </w:rPr>
        <w:t>.</w:t>
      </w:r>
      <w:r>
        <w:rPr>
          <w:rStyle w:val="inline-comment-marker"/>
        </w:rPr>
        <w:t> </w:t>
      </w:r>
    </w:p>
    <w:p w:rsidR="00000000" w:rsidRDefault="00501E77">
      <w:pPr>
        <w:pStyle w:val="Normlnywebov"/>
      </w:pPr>
      <w:r>
        <w:t>Cieľom projektu je vytvorenie a implementácia centrálneho systému hodnotenia a certifikácie s dôrazom na kognitívne úrovne digitálnych kompetencií  znevýhodnených skupín obyvateľstva</w:t>
      </w:r>
      <w:r>
        <w:rPr>
          <w:rStyle w:val="Siln"/>
        </w:rPr>
        <w:t>. </w:t>
      </w:r>
    </w:p>
    <w:p w:rsidR="00000000" w:rsidRDefault="00501E77">
      <w:pPr>
        <w:pStyle w:val="Normlnywebov"/>
      </w:pPr>
      <w:r>
        <w:t>Projekt bude realizovaný v spolupráci s cert</w:t>
      </w:r>
      <w:r>
        <w:t>ifikačnými partnermi, v tejto súvislosti štúdia predpokladá spoluprácu minimálne so Slovenskou technickou univerzitou a Technickou univerzitou Košice, ďalšími partnermi budú univerzity vybrané vzhľadom na ich geografickú polohu a kapacity, ktoré sú kľúčové</w:t>
      </w:r>
      <w:r>
        <w:t xml:space="preserve"> pre zabezpečenie úloh certifikačného partnera. Centrálny komponent pre certifikáciu bude využiteľný aj zo strany ďalších inštitúcii (najmä verejnej správy). </w:t>
      </w:r>
    </w:p>
    <w:p w:rsidR="00000000" w:rsidRDefault="00501E77">
      <w:pPr>
        <w:pStyle w:val="Normlnywebov"/>
      </w:pPr>
      <w:r>
        <w:t>Dôležitým prvkom pri realizácií projektu bude vybudovanie centrálnej metodicko-procesnej autority</w:t>
      </w:r>
      <w:r>
        <w:t xml:space="preserve"> vybudovanej v rámci štruktúry rezortu ÚPPVII alebo po vzniku osobitného združenia právnických osôb mimo štruktúry rezortu ÚPPVII, pričom ak také združenie vznikne, preberie na seba úlohy spojené s implementáciou unifikovaných procesov, ich podporou a rozv</w:t>
      </w:r>
      <w:r>
        <w:t>ojom v budúcnosti, akreditáciou partnerov, správou, prevádzkou a finančným zabezpečením riešenia prostredníctvom možného samofinancovania z prostriedkov za certifikáciu a propagáciu zamestnávateľov a podobne. UPPVII bude aj naďalej zodpovedať za riadenie a</w:t>
      </w:r>
      <w:r>
        <w:t xml:space="preserve"> koordináciu politík certifikácie digitálnych kompetencií v spolupráci s dotknutými rezortami. Pre potreby tejto štúdie nie je dôležitá forma, akou bude táto autorita realizovaná a ani kto bude vydávať certifikáty. Analýza a legislatívna analýza vykonaná p</w:t>
      </w:r>
      <w:r>
        <w:t>očas projektu by mala ukázať optimálnu formu centrálnej metodicko-procesnej autority a dať informačný základ pre rozhodnutie kto bude vydávateľom certifikátov. Túto inštitúciu budeme v ďalšom označovať ako CMPP (Centrum metodicko-procesnej podpory). Náklad</w:t>
      </w:r>
      <w:r>
        <w:t>y na prevádzku CMPP pri zabezpečovaní aktivít nevyhnutných pre dosiahnutie naplnenia merateľných ukazovateľov počas projektu sú zohľadnené v CBA tohto projektu.</w:t>
      </w:r>
    </w:p>
    <w:p w:rsidR="00000000" w:rsidRDefault="00501E77">
      <w:pPr>
        <w:pStyle w:val="Normlnywebov"/>
      </w:pPr>
      <w:r>
        <w:t>Nástroj pre hodnotenie a certifikáciu bude vytvorený v súčinnosti dvoch projektov z dvoch opera</w:t>
      </w:r>
      <w:r>
        <w:t>čných programov použitím intervenčnej logiky: </w:t>
      </w:r>
    </w:p>
    <w:p w:rsidR="00000000" w:rsidRDefault="00501E77">
      <w:pPr>
        <w:pStyle w:val="Normlnywebov"/>
      </w:pPr>
      <w:r>
        <w:t>-        OPII – projekt Digitálny ekosystém inklúzie, prijímateľ bude Úrad podpredsedu vlády pre investície a informatizáciu, projekt rieši vytvorenie technologickej platformy a samotnej certifikácie.  </w:t>
      </w:r>
    </w:p>
    <w:p w:rsidR="00000000" w:rsidRDefault="00501E77">
      <w:pPr>
        <w:pStyle w:val="Normlnywebov"/>
      </w:pPr>
      <w:r>
        <w:t>-     </w:t>
      </w:r>
      <w:r>
        <w:t>   OPĽZ – projekt Zamestnaj sa, buď KOMPetentný! </w:t>
      </w:r>
      <w:hyperlink r:id="rId5" w:history="1">
        <w:r>
          <w:rPr>
            <w:rStyle w:val="Hypertextovprepojenie"/>
          </w:rPr>
          <w:t>[1]</w:t>
        </w:r>
      </w:hyperlink>
      <w:r>
        <w:t>, kde prijímateľom bude ŠIOV a partnerom RÚZ, má za cieľ vytvorenie štandardov, rámca centrálneho mechanizmu hodnotenia a certifikácie úrovní d</w:t>
      </w:r>
      <w:r>
        <w:t>igitálnych kompetencií a realizáciu experimentálneho overovania pilotného programu dosahovania úrovne digitálnych kompetencií a aktualizáciu Národného Systému Kvalifikácií v kontexte digitálnych kompetencií.</w:t>
      </w:r>
      <w:r>
        <w:rPr>
          <w:rStyle w:val="Siln"/>
        </w:rPr>
        <w:t> </w:t>
      </w:r>
    </w:p>
    <w:p w:rsidR="00000000" w:rsidRDefault="00501E77">
      <w:pPr>
        <w:pStyle w:val="Normlnywebov"/>
      </w:pPr>
      <w:r>
        <w:rPr>
          <w:rStyle w:val="inline-comment-marker"/>
        </w:rPr>
        <w:t>Z</w:t>
      </w:r>
      <w:r>
        <w:t> pohľadu úsekov verejnej správy tak rieši prim</w:t>
      </w:r>
      <w:r>
        <w:t>árne nasledujúce úseky:</w:t>
      </w:r>
    </w:p>
    <w:p w:rsidR="00000000" w:rsidRDefault="00501E77">
      <w:pPr>
        <w:numPr>
          <w:ilvl w:val="0"/>
          <w:numId w:val="1"/>
        </w:numPr>
        <w:spacing w:before="100" w:beforeAutospacing="1" w:after="100" w:afterAutospacing="1"/>
        <w:rPr>
          <w:rFonts w:eastAsia="Times New Roman"/>
        </w:rPr>
      </w:pPr>
      <w:r>
        <w:rPr>
          <w:rFonts w:eastAsia="Times New Roman"/>
        </w:rPr>
        <w:t>U00029 / Informatizácia spoločnosti,</w:t>
      </w:r>
    </w:p>
    <w:p w:rsidR="00000000" w:rsidRDefault="00501E77">
      <w:pPr>
        <w:numPr>
          <w:ilvl w:val="0"/>
          <w:numId w:val="1"/>
        </w:numPr>
        <w:spacing w:before="100" w:beforeAutospacing="1" w:after="100" w:afterAutospacing="1"/>
        <w:rPr>
          <w:rFonts w:eastAsia="Times New Roman"/>
        </w:rPr>
      </w:pPr>
      <w:r>
        <w:rPr>
          <w:rFonts w:eastAsia="Times New Roman"/>
        </w:rPr>
        <w:t>U00138 / Stratégia zamestnanosti, koordinácia jej tvorby a politika trhu práce .</w:t>
      </w:r>
    </w:p>
    <w:p w:rsidR="00000000" w:rsidRDefault="00501E77">
      <w:pPr>
        <w:numPr>
          <w:ilvl w:val="0"/>
          <w:numId w:val="1"/>
        </w:numPr>
        <w:spacing w:before="100" w:beforeAutospacing="1" w:after="100" w:afterAutospacing="1"/>
        <w:rPr>
          <w:rFonts w:eastAsia="Times New Roman"/>
        </w:rPr>
      </w:pPr>
      <w:r>
        <w:rPr>
          <w:rFonts w:eastAsia="Times New Roman"/>
        </w:rPr>
        <w:t>U00167 / Celoživotné vzdelávanie,</w:t>
      </w:r>
    </w:p>
    <w:p w:rsidR="00000000" w:rsidRDefault="00501E77">
      <w:pPr>
        <w:pStyle w:val="Normlnywebov"/>
      </w:pPr>
      <w:r>
        <w:t>Z pohľadu okruhov životných situácií tak rieši:</w:t>
      </w:r>
    </w:p>
    <w:p w:rsidR="00000000" w:rsidRDefault="00501E77">
      <w:pPr>
        <w:numPr>
          <w:ilvl w:val="0"/>
          <w:numId w:val="2"/>
        </w:numPr>
        <w:spacing w:before="100" w:beforeAutospacing="1" w:after="100" w:afterAutospacing="1"/>
        <w:rPr>
          <w:rFonts w:eastAsia="Times New Roman"/>
        </w:rPr>
      </w:pPr>
      <w:r>
        <w:rPr>
          <w:rFonts w:eastAsia="Times New Roman"/>
        </w:rPr>
        <w:t>C05 Vzdelanie a šport - </w:t>
      </w:r>
      <w:r>
        <w:rPr>
          <w:rFonts w:eastAsia="Times New Roman"/>
        </w:rPr>
        <w:t>Uznávanie odborných kvalifikácií a dokladov o vzdelaní</w:t>
      </w:r>
    </w:p>
    <w:p w:rsidR="00000000" w:rsidRDefault="00501E77">
      <w:pPr>
        <w:pStyle w:val="Normlnywebov"/>
      </w:pPr>
      <w:r>
        <w:t> </w:t>
      </w:r>
    </w:p>
    <w:p w:rsidR="00000000" w:rsidRDefault="00501E77">
      <w:pPr>
        <w:pStyle w:val="Normlnywebov"/>
      </w:pPr>
      <w:r>
        <w:rPr>
          <w:rStyle w:val="Zvraznenie"/>
        </w:rPr>
        <w:t>Tabuľka 1 Základné informácie - zhrnutie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091996453"/>
          <w:tblCellSpacing w:w="15" w:type="dxa"/>
        </w:trPr>
        <w:tc>
          <w:tcPr>
            <w:tcW w:w="0" w:type="auto"/>
            <w:gridSpan w:val="2"/>
            <w:vAlign w:val="center"/>
            <w:hideMark/>
          </w:tcPr>
          <w:p w:rsidR="00000000" w:rsidRDefault="00501E77">
            <w:pPr>
              <w:pStyle w:val="Normlnywebov"/>
              <w:jc w:val="center"/>
              <w:rPr>
                <w:b/>
                <w:bCs/>
              </w:rPr>
            </w:pPr>
            <w:r>
              <w:rPr>
                <w:b/>
                <w:bCs/>
              </w:rPr>
              <w:t>Zdôvodnenie využitia národného projektu a vylúčenia výberu projektu prostredníctvom výzvy</w:t>
            </w:r>
          </w:p>
        </w:tc>
      </w:tr>
      <w:tr w:rsidR="00000000">
        <w:trPr>
          <w:divId w:val="2091996453"/>
          <w:tblCellSpacing w:w="15" w:type="dxa"/>
        </w:trPr>
        <w:tc>
          <w:tcPr>
            <w:tcW w:w="0" w:type="auto"/>
            <w:gridSpan w:val="2"/>
            <w:vAlign w:val="center"/>
            <w:hideMark/>
          </w:tcPr>
          <w:p w:rsidR="00000000" w:rsidRDefault="00501E77">
            <w:pPr>
              <w:pStyle w:val="Normlnywebov"/>
              <w:jc w:val="center"/>
              <w:rPr>
                <w:b/>
                <w:bCs/>
              </w:rPr>
            </w:pPr>
            <w:r>
              <w:rPr>
                <w:rStyle w:val="Siln"/>
              </w:rPr>
              <w:t>Realizácia predkladaného projektu vyžaduje centralizovaný a koordi</w:t>
            </w:r>
            <w:r>
              <w:rPr>
                <w:rStyle w:val="Siln"/>
              </w:rPr>
              <w:t>novaný prístup. Cieľom projektu je vytvorenie inovatívneho nástroja - centrálneho systému hodnotenia a certifikácie občanov, s dôrazom na kognitívne úrovne digitálnych kompetencií znevýhodnených  skupín obyvateľstva, ktorým umožní zlepšenie prístupu k zame</w:t>
            </w:r>
            <w:r>
              <w:rPr>
                <w:rStyle w:val="Siln"/>
              </w:rPr>
              <w:t>stnanosti, ako aj zvýšenie možnosti ich inklúzie do spoločnosti.</w:t>
            </w:r>
          </w:p>
          <w:p w:rsidR="00000000" w:rsidRDefault="00501E77">
            <w:pPr>
              <w:pStyle w:val="Normlnywebov"/>
              <w:jc w:val="center"/>
              <w:rPr>
                <w:b/>
                <w:bCs/>
              </w:rPr>
            </w:pPr>
            <w:r>
              <w:rPr>
                <w:rStyle w:val="Siln"/>
              </w:rPr>
              <w:t>Cieľovou skupinou pre účely tejto štúdie sú všetci občania SR starší ako 15 rokov, primárne (nie však výlučne) bude projekt orientovaný na skupinu znevýhodnených občanov definovanú v súlade s</w:t>
            </w:r>
            <w:r>
              <w:rPr>
                <w:rStyle w:val="Siln"/>
              </w:rPr>
              <w:t xml:space="preserve"> definíciou podľa digitálnej agendy</w:t>
            </w:r>
            <w:hyperlink r:id="rId6" w:history="1">
              <w:r>
                <w:rPr>
                  <w:rStyle w:val="Siln"/>
                  <w:color w:val="0000FF"/>
                  <w:u w:val="single"/>
                  <w:vertAlign w:val="superscript"/>
                </w:rPr>
                <w:t>[2]</w:t>
              </w:r>
            </w:hyperlink>
            <w:r>
              <w:rPr>
                <w:rStyle w:val="Siln"/>
              </w:rPr>
              <w:t xml:space="preserve"> - "jednotlivci s nasledujúcimi charakteristikami: 55 až 74 rokov; nízke vzdelanie; nezamestnaní alebo neaktívni alebo dôchodcovia"</w:t>
            </w:r>
          </w:p>
          <w:p w:rsidR="00000000" w:rsidRDefault="00501E77">
            <w:pPr>
              <w:pStyle w:val="Normlnywebov"/>
              <w:jc w:val="center"/>
              <w:rPr>
                <w:b/>
                <w:bCs/>
              </w:rPr>
            </w:pPr>
            <w:r>
              <w:rPr>
                <w:b/>
                <w:bCs/>
              </w:rPr>
              <w:t>Na realizáciu aktivít projektu je nevyhnutné zabezpečiť:</w:t>
            </w:r>
          </w:p>
          <w:p w:rsidR="00000000" w:rsidRDefault="00501E77">
            <w:pPr>
              <w:numPr>
                <w:ilvl w:val="0"/>
                <w:numId w:val="3"/>
              </w:numPr>
              <w:spacing w:before="100" w:beforeAutospacing="1" w:after="100" w:afterAutospacing="1"/>
              <w:jc w:val="center"/>
              <w:rPr>
                <w:rFonts w:eastAsia="Times New Roman"/>
                <w:b/>
                <w:bCs/>
              </w:rPr>
            </w:pPr>
            <w:r>
              <w:rPr>
                <w:rFonts w:eastAsia="Times New Roman"/>
                <w:b/>
                <w:bCs/>
              </w:rPr>
              <w:t>medzisektorovú súčinnosť využitím intervenčnej logiky, ktorá neumožňuje dopytovo orientované výzvy,</w:t>
            </w:r>
          </w:p>
          <w:p w:rsidR="00000000" w:rsidRDefault="00501E77">
            <w:pPr>
              <w:numPr>
                <w:ilvl w:val="0"/>
                <w:numId w:val="3"/>
              </w:numPr>
              <w:spacing w:before="100" w:beforeAutospacing="1" w:after="100" w:afterAutospacing="1"/>
              <w:jc w:val="center"/>
              <w:rPr>
                <w:rFonts w:eastAsia="Times New Roman"/>
                <w:b/>
                <w:bCs/>
              </w:rPr>
            </w:pPr>
            <w:r>
              <w:rPr>
                <w:rFonts w:eastAsia="Times New Roman"/>
                <w:b/>
                <w:bCs/>
              </w:rPr>
              <w:t>centrálne riadenie aktérov z rôznych oblastí poskytovania služieb zamestnanosti (štát v úzkej súčin</w:t>
            </w:r>
            <w:r>
              <w:rPr>
                <w:rFonts w:eastAsia="Times New Roman"/>
                <w:b/>
                <w:bCs/>
              </w:rPr>
              <w:t>nosti so zamestnávateľmi),</w:t>
            </w:r>
          </w:p>
          <w:p w:rsidR="00000000" w:rsidRDefault="00501E77">
            <w:pPr>
              <w:numPr>
                <w:ilvl w:val="0"/>
                <w:numId w:val="3"/>
              </w:numPr>
              <w:spacing w:before="100" w:beforeAutospacing="1" w:after="100" w:afterAutospacing="1"/>
              <w:jc w:val="center"/>
              <w:rPr>
                <w:rFonts w:eastAsia="Times New Roman"/>
                <w:b/>
                <w:bCs/>
              </w:rPr>
            </w:pPr>
            <w:r>
              <w:rPr>
                <w:rFonts w:eastAsia="Times New Roman"/>
                <w:b/>
                <w:bCs/>
              </w:rPr>
              <w:t>vytvorenie centrálnej metodicko-procesnej autority ako priamo riadenou organizáciou ÚPPVII</w:t>
            </w:r>
          </w:p>
          <w:p w:rsidR="00000000" w:rsidRDefault="00501E77">
            <w:pPr>
              <w:numPr>
                <w:ilvl w:val="0"/>
                <w:numId w:val="3"/>
              </w:numPr>
              <w:spacing w:before="100" w:beforeAutospacing="1" w:after="100" w:afterAutospacing="1"/>
              <w:jc w:val="center"/>
              <w:rPr>
                <w:rFonts w:eastAsia="Times New Roman"/>
                <w:b/>
                <w:bCs/>
              </w:rPr>
            </w:pPr>
            <w:r>
              <w:rPr>
                <w:rFonts w:eastAsia="Times New Roman"/>
                <w:b/>
                <w:bCs/>
              </w:rPr>
              <w:t xml:space="preserve">udržateľnosť projektu postupným rozširovaním certifikácie a uznávania kvalifikačných predpokladov nevyhnutných pre potreby trhu práce 21. </w:t>
            </w:r>
            <w:r>
              <w:rPr>
                <w:rFonts w:eastAsia="Times New Roman"/>
                <w:b/>
                <w:bCs/>
              </w:rPr>
              <w:t>storočia v rámci celej SR.</w:t>
            </w:r>
          </w:p>
          <w:p w:rsidR="00000000" w:rsidRDefault="00501E77">
            <w:pPr>
              <w:pStyle w:val="Normlnywebov"/>
              <w:jc w:val="center"/>
              <w:rPr>
                <w:b/>
                <w:bCs/>
              </w:rPr>
            </w:pPr>
            <w:r>
              <w:rPr>
                <w:b/>
                <w:bCs/>
              </w:rPr>
              <w:t>Efektívne a úspešné zavedenie inovatívneho nástroja neumožňuje čiastkové riešenia. Cieľom projektu je zabezpečenie jednotného postupu na národnej úrovni v oblasti hodnotenia a certifikácie pre účely udržania pracovnej sily na trh</w:t>
            </w:r>
            <w:r>
              <w:rPr>
                <w:b/>
                <w:bCs/>
              </w:rPr>
              <w:t>u práce, ktorý sa mení v dôsledku automatizácie a rozvojom umelej inteligencie. V Slovenskej republike je až 62% pravdepodobnosť, že priemerný zamestnanec bude, podľa OECD Social, Employment and Migration Working Papers, v nasledujúcich rokoch nahradený um</w:t>
            </w:r>
            <w:r>
              <w:rPr>
                <w:b/>
                <w:bCs/>
              </w:rPr>
              <w:t>elou inteligenciou.</w:t>
            </w:r>
            <w:r>
              <w:rPr>
                <w:b/>
                <w:bCs/>
                <w:sz w:val="15"/>
                <w:szCs w:val="15"/>
              </w:rPr>
              <w:t> </w:t>
            </w:r>
            <w:r>
              <w:rPr>
                <w:b/>
                <w:bCs/>
              </w:rPr>
              <w:t xml:space="preserve">Najviac sú pritom ohrozené skupiny mladých, nedostatočne kvalifikovaných zamestnancov a starší zamestnanci na nižších pozíciách, ktoré vyžadujú opakovanú činnosť. Najviac ohrozenými sektormi sú potravinárstvo, strojníctvo, bankovníctvo </w:t>
            </w:r>
            <w:r>
              <w:rPr>
                <w:b/>
                <w:bCs/>
              </w:rPr>
              <w:t>a obchod.</w:t>
            </w:r>
          </w:p>
          <w:p w:rsidR="00000000" w:rsidRDefault="00501E77">
            <w:pPr>
              <w:pStyle w:val="Normlnywebov"/>
              <w:jc w:val="center"/>
              <w:rPr>
                <w:b/>
                <w:bCs/>
              </w:rPr>
            </w:pPr>
            <w:r>
              <w:rPr>
                <w:b/>
                <w:bCs/>
              </w:rPr>
              <w:t>Ďalším podstatným dôvodom pre výber národného projektu je aj skutočnosť, že by postup prostredníctvom realizácie časti aktivít (tvorba certifikačných testov) cez dopytové projekty zvýšil riziko neprihlásenia sa žiadnej organizácie resp. komerčnéh</w:t>
            </w:r>
            <w:r>
              <w:rPr>
                <w:b/>
                <w:bCs/>
              </w:rPr>
              <w:t>o subjektu pre ich tvorbu, čo by vyústilo do stavu, kedy by centrálna infraštruktúra uvedená do prevádzky nemala reálne naplnenie a neplnili by sa merateľné ukazovatele projektu. Po rozbehnutí projektu s centrálne stanovenými a vytvorenými certifikačnými t</w:t>
            </w:r>
            <w:r>
              <w:rPr>
                <w:b/>
                <w:bCs/>
              </w:rPr>
              <w:t>estami pre hodnotenie úrovne digitálnych kompetencií je možné následne ponúknuť dopytové projekty pre vytvorenie ďalších zásuvných modulov.</w:t>
            </w:r>
          </w:p>
          <w:p w:rsidR="00000000" w:rsidRDefault="00501E77">
            <w:pPr>
              <w:jc w:val="center"/>
              <w:divId w:val="667946483"/>
              <w:rPr>
                <w:rFonts w:eastAsia="Times New Roman"/>
                <w:b/>
                <w:bCs/>
              </w:rPr>
            </w:pPr>
            <w:r>
              <w:rPr>
                <w:rFonts w:eastAsia="Times New Roman"/>
                <w:b/>
                <w:bCs/>
              </w:rPr>
              <w:t>Dôležitý je aj fakt, že digitalizácia spoločnosti vyžaduje nielen nasadzovanie technológií a procesov, ale aj kompet</w:t>
            </w:r>
            <w:r>
              <w:rPr>
                <w:rFonts w:eastAsia="Times New Roman"/>
                <w:b/>
                <w:bCs/>
              </w:rPr>
              <w:t xml:space="preserve">entných používateľov a správcov. Je nevyhnutné, aby štát začal budovať systém umožňujúci meranie a hodnotenie úrovne digitálnych kompetencií jednotlivcov. </w:t>
            </w:r>
          </w:p>
          <w:p w:rsidR="00000000" w:rsidRDefault="00501E77">
            <w:pPr>
              <w:pStyle w:val="Normlnywebov"/>
              <w:jc w:val="center"/>
              <w:divId w:val="1240869898"/>
              <w:rPr>
                <w:b/>
                <w:bCs/>
              </w:rPr>
            </w:pPr>
            <w:r>
              <w:rPr>
                <w:b/>
                <w:bCs/>
              </w:rPr>
              <w:t> </w:t>
            </w:r>
          </w:p>
          <w:p w:rsidR="00000000" w:rsidRDefault="00501E77">
            <w:pPr>
              <w:pStyle w:val="Normlnywebov"/>
              <w:jc w:val="center"/>
              <w:divId w:val="1240869898"/>
              <w:rPr>
                <w:b/>
                <w:bCs/>
              </w:rPr>
            </w:pPr>
            <w:r>
              <w:rPr>
                <w:b/>
                <w:bCs/>
              </w:rPr>
              <w:t>V nádväznosti na Vyhodnotenie uplatňovania aktívnych opatrení na trhu práce za rok 2017</w:t>
            </w:r>
            <w:r>
              <w:rPr>
                <w:rStyle w:val="Zvraznenie"/>
                <w:b/>
                <w:bCs/>
              </w:rPr>
              <w:t xml:space="preserve"> </w:t>
            </w:r>
            <w:hyperlink r:id="rId7" w:history="1">
              <w:r>
                <w:rPr>
                  <w:rStyle w:val="Hypertextovprepojenie"/>
                  <w:b/>
                  <w:bCs/>
                  <w:i/>
                  <w:iCs/>
                </w:rPr>
                <w:t>[3]</w:t>
              </w:r>
            </w:hyperlink>
            <w:r>
              <w:rPr>
                <w:rStyle w:val="Zvraznenie"/>
                <w:b/>
                <w:bCs/>
              </w:rPr>
              <w:t> </w:t>
            </w:r>
            <w:r>
              <w:rPr>
                <w:b/>
                <w:bCs/>
              </w:rPr>
              <w:t xml:space="preserve"> a analýzy OECD v rámci projektu PISA sú základnou motiváciou pre realizáciu národného projektu :</w:t>
            </w:r>
          </w:p>
          <w:p w:rsidR="00000000" w:rsidRDefault="00501E77">
            <w:pPr>
              <w:numPr>
                <w:ilvl w:val="0"/>
                <w:numId w:val="4"/>
              </w:numPr>
              <w:spacing w:before="100" w:beforeAutospacing="1" w:after="100" w:afterAutospacing="1"/>
              <w:ind w:left="1440"/>
              <w:jc w:val="center"/>
              <w:divId w:val="1240869898"/>
              <w:rPr>
                <w:rFonts w:eastAsia="Times New Roman"/>
                <w:b/>
                <w:bCs/>
              </w:rPr>
            </w:pP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získavanie objektívnych informácií o </w:t>
            </w:r>
            <w:r>
              <w:rPr>
                <w:rFonts w:eastAsia="Times New Roman"/>
                <w:b/>
                <w:bCs/>
              </w:rPr>
              <w:t>úrovni digitálnych kompetencií obyvateľov SR v kontexte rozvoja trhu práce EÚ,</w:t>
            </w: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zvyšovanie a certifikácia digitálnych kompetencií znevýhodnených občanov pre ich rýchlejšie plnohodnotné začlenenie do spoločnosti,</w:t>
            </w: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zavedenie jednotného systému certifikácie dig</w:t>
            </w:r>
            <w:r>
              <w:rPr>
                <w:rFonts w:eastAsia="Times New Roman"/>
                <w:b/>
                <w:bCs/>
              </w:rPr>
              <w:t>itálnych kompetencií pre účely pracovnej mobility a rýchleho začleňovania na trhu práce,</w:t>
            </w: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zvyšujúci sa počet obsadenosti pracovných miest následkom riadenia zmien profilácie uchádzačov o zamestnanie v súlade s potrebami rýchlo meniacej sa ekonomiky,</w:t>
            </w: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cielené</w:t>
            </w:r>
            <w:r>
              <w:rPr>
                <w:rFonts w:eastAsia="Times New Roman"/>
                <w:b/>
                <w:bCs/>
              </w:rPr>
              <w:t xml:space="preserve"> začleňovanie znevýhodnených uchádzačov o zamestnanie a sprístupnenie zamestnania s vyššou pridanou hodnotou tejto skupine zvyšovaním a certifikovaním ich digitálnych kompetencií,</w:t>
            </w: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 xml:space="preserve">posúdenie miery rozvoja digitálnych kompetencií uchádzačov vo veku 50 rokov </w:t>
            </w:r>
            <w:r>
              <w:rPr>
                <w:rFonts w:eastAsia="Times New Roman"/>
                <w:b/>
                <w:bCs/>
              </w:rPr>
              <w:t>a viac a ich postupné začleňovanie na trh práce,</w:t>
            </w: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obsadzovanie dlhodobo neobsadených pracovných miest pomocou zvyšovania a certifikácie digitálnych kompetencií znevýhodnených uchádzačov o zamestnanie vo veku 50 rokov a viac a tým zmiernenie dopadu negatívne</w:t>
            </w:r>
            <w:r>
              <w:rPr>
                <w:rFonts w:eastAsia="Times New Roman"/>
                <w:b/>
                <w:bCs/>
              </w:rPr>
              <w:t>ho demografického rastu,</w:t>
            </w:r>
          </w:p>
          <w:p w:rsidR="00000000" w:rsidRDefault="00501E77">
            <w:pPr>
              <w:numPr>
                <w:ilvl w:val="1"/>
                <w:numId w:val="4"/>
              </w:numPr>
              <w:spacing w:before="100" w:beforeAutospacing="1" w:after="100" w:afterAutospacing="1"/>
              <w:jc w:val="center"/>
              <w:divId w:val="1240869898"/>
              <w:rPr>
                <w:rFonts w:eastAsia="Times New Roman"/>
                <w:b/>
                <w:bCs/>
              </w:rPr>
            </w:pPr>
            <w:r>
              <w:rPr>
                <w:rFonts w:eastAsia="Times New Roman"/>
                <w:b/>
                <w:bCs/>
              </w:rPr>
              <w:t>zvýšenie dopytu po vzdelávaní orientovanom na rozvoj digitálnych kompetencií založenom na rozvoji myslenia (využitie poznatkov a zručností v širokých kontextoch).</w:t>
            </w:r>
          </w:p>
          <w:p w:rsidR="00000000" w:rsidRDefault="00501E77">
            <w:pPr>
              <w:jc w:val="center"/>
              <w:divId w:val="245575763"/>
              <w:rPr>
                <w:rFonts w:eastAsia="Times New Roman"/>
                <w:b/>
                <w:bCs/>
              </w:rPr>
            </w:pPr>
            <w:r>
              <w:rPr>
                <w:rStyle w:val="Siln"/>
                <w:rFonts w:eastAsia="Times New Roman"/>
              </w:rPr>
              <w:t>Prostredie vytvorené  v rámci tohto projektu, resp. vytvorené centrá</w:t>
            </w:r>
            <w:r>
              <w:rPr>
                <w:rStyle w:val="Siln"/>
                <w:rFonts w:eastAsia="Times New Roman"/>
              </w:rPr>
              <w:t>lne komponenty, bude  rovnako použiteľné aj pre tie skupiny, ktoré nie sú znevýhodnené, t.j. úradníkov, žiakov a podobne. </w:t>
            </w:r>
            <w:r>
              <w:rPr>
                <w:rFonts w:eastAsia="Times New Roman"/>
                <w:b/>
                <w:bCs/>
              </w:rPr>
              <w:t xml:space="preserve"> </w:t>
            </w:r>
          </w:p>
          <w:p w:rsidR="00000000" w:rsidRDefault="00501E77">
            <w:pPr>
              <w:pStyle w:val="Normlnywebov"/>
              <w:jc w:val="center"/>
              <w:divId w:val="64769613"/>
              <w:rPr>
                <w:b/>
                <w:bCs/>
              </w:rPr>
            </w:pPr>
            <w:r>
              <w:rPr>
                <w:b/>
                <w:bCs/>
              </w:rPr>
              <w:t> </w:t>
            </w:r>
          </w:p>
        </w:tc>
      </w:tr>
      <w:tr w:rsidR="00000000">
        <w:trPr>
          <w:divId w:val="2091996453"/>
          <w:tblCellSpacing w:w="15" w:type="dxa"/>
        </w:trPr>
        <w:tc>
          <w:tcPr>
            <w:tcW w:w="0" w:type="auto"/>
            <w:gridSpan w:val="2"/>
            <w:vAlign w:val="center"/>
            <w:hideMark/>
          </w:tcPr>
          <w:p w:rsidR="00000000" w:rsidRDefault="00501E77">
            <w:pPr>
              <w:pStyle w:val="Normlnywebov"/>
              <w:jc w:val="center"/>
              <w:rPr>
                <w:b/>
                <w:bCs/>
              </w:rPr>
            </w:pPr>
            <w:r>
              <w:rPr>
                <w:rStyle w:val="inline-comment-marker"/>
                <w:b/>
                <w:bCs/>
              </w:rPr>
              <w:t>Prijímateľ/partne</w:t>
            </w:r>
            <w:r>
              <w:rPr>
                <w:rStyle w:val="inline-comment-marker"/>
                <w:b/>
                <w:bCs/>
              </w:rPr>
              <w:t>r</w:t>
            </w:r>
            <w:r>
              <w:rPr>
                <w:b/>
                <w:bCs/>
              </w:rPr>
              <w:t xml:space="preserve"> národného projektu a dôvod jeho určenia</w:t>
            </w:r>
          </w:p>
        </w:tc>
      </w:tr>
      <w:tr w:rsidR="00000000">
        <w:trPr>
          <w:divId w:val="2091996453"/>
          <w:tblCellSpacing w:w="15" w:type="dxa"/>
        </w:trPr>
        <w:tc>
          <w:tcPr>
            <w:tcW w:w="0" w:type="auto"/>
            <w:gridSpan w:val="2"/>
            <w:vAlign w:val="center"/>
            <w:hideMark/>
          </w:tcPr>
          <w:p w:rsidR="00000000" w:rsidRDefault="00501E77">
            <w:pPr>
              <w:pStyle w:val="Normlnywebov"/>
              <w:jc w:val="center"/>
              <w:rPr>
                <w:b/>
                <w:bCs/>
              </w:rPr>
            </w:pPr>
            <w:r>
              <w:rPr>
                <w:b/>
                <w:bCs/>
              </w:rPr>
              <w:t>V zmysle §34a, článok 1 písm. b) a c) zákona č. 575/2001 Z. z. o or</w:t>
            </w:r>
            <w:r>
              <w:rPr>
                <w:b/>
                <w:bCs/>
              </w:rPr>
              <w:t>ganizácii činnosti vlády a organizácii ústrednej štátnej správy, je Úrad podpredsedu vlády Slovenskej republiky pre investície a informatizáciu ústredným orgánom štátnej správy pre oblasť informatizácie spoločnosti a oblasť investícií.</w:t>
            </w:r>
          </w:p>
          <w:p w:rsidR="00000000" w:rsidRDefault="00501E77">
            <w:pPr>
              <w:pStyle w:val="Normlnywebov"/>
              <w:jc w:val="center"/>
              <w:rPr>
                <w:b/>
                <w:bCs/>
              </w:rPr>
            </w:pPr>
            <w:r>
              <w:rPr>
                <w:b/>
                <w:bCs/>
              </w:rPr>
              <w:t>V zmysle §34a, článo</w:t>
            </w:r>
            <w:r>
              <w:rPr>
                <w:b/>
                <w:bCs/>
              </w:rPr>
              <w:t>k 2 písm. b) a c) zákona č. 575/2001 Z. z. o organizácii činnosti vlády a organizácii ústrednej štátnej správy UPPVII v oblasti informatizácie spoločnosti zabezpečuje centrálne riadenie informatizácie spoločnosti a tvorbu politiky jednotného digitálneho tr</w:t>
            </w:r>
            <w:r>
              <w:rPr>
                <w:b/>
                <w:bCs/>
              </w:rPr>
              <w:t>hu, rozhodovanie o využívaní finančných zdrojov vo verejnej správe pre informačné technológie, centrálnu architektúru integrovaného informačného systému verejnej správy a koordináciu plnenia úloh v oblasti informatizácie spoločnosti.</w:t>
            </w:r>
          </w:p>
          <w:p w:rsidR="00000000" w:rsidRDefault="00501E77">
            <w:pPr>
              <w:pStyle w:val="Normlnywebov"/>
              <w:jc w:val="center"/>
              <w:rPr>
                <w:b/>
                <w:bCs/>
              </w:rPr>
            </w:pPr>
            <w:r>
              <w:rPr>
                <w:b/>
                <w:bCs/>
              </w:rPr>
              <w:t xml:space="preserve">V zmysle §34a, článok </w:t>
            </w:r>
            <w:r>
              <w:rPr>
                <w:b/>
                <w:bCs/>
              </w:rPr>
              <w:t>3 písm. b) a c) zákona č. 575/2001 Z. z. o organizácii činnosti vlády a organizácii ústrednej štátnej správy UPPVII v oblasti investícií zabezpečuje strategické plánovanie a strategické projektové riadenie, vrátane vypracovania národného strategického inve</w:t>
            </w:r>
            <w:r>
              <w:rPr>
                <w:b/>
                <w:bCs/>
              </w:rPr>
              <w:t>stičného rámca, ako aj koordináciu investičných projektov určených vládou Slovenskej republiky.</w:t>
            </w:r>
          </w:p>
          <w:p w:rsidR="00000000" w:rsidRDefault="00501E77">
            <w:pPr>
              <w:pStyle w:val="Normlnywebov"/>
              <w:jc w:val="center"/>
              <w:rPr>
                <w:b/>
                <w:bCs/>
              </w:rPr>
            </w:pPr>
            <w:r>
              <w:rPr>
                <w:b/>
                <w:bCs/>
              </w:rPr>
              <w:t>V zmysle §34a, článok 4 písm. b) a c) zákona č. 575/2001 Z. z. o organizácii činnosti vlády a organizácii ústrednej štátnej správy  UPPVII plní aj úlohy spojené</w:t>
            </w:r>
            <w:r>
              <w:rPr>
                <w:b/>
                <w:bCs/>
              </w:rPr>
              <w:t xml:space="preserve"> s odborným, organizačným a technickým zabezpečovaním činnosti podpredsedu vlády Slovenskej republiky pre investície a informatizáciu.</w:t>
            </w:r>
          </w:p>
          <w:p w:rsidR="00000000" w:rsidRDefault="00501E77">
            <w:pPr>
              <w:pStyle w:val="Normlnywebov"/>
              <w:jc w:val="center"/>
              <w:rPr>
                <w:b/>
                <w:bCs/>
              </w:rPr>
            </w:pPr>
            <w:r>
              <w:rPr>
                <w:rStyle w:val="inline-comment-marker"/>
                <w:b/>
                <w:bCs/>
              </w:rPr>
              <w:t>Úlohy ÚPPVII ako garanta informatizácie spoločnosti a tvorbu politiky jednotného digitálneho trhu  stavajú ÚPPVII do pozí</w:t>
            </w:r>
            <w:r>
              <w:rPr>
                <w:rStyle w:val="inline-comment-marker"/>
                <w:b/>
                <w:bCs/>
              </w:rPr>
              <w:t>cie „vecného“ vlastníka a zároveň správcu komplexu informačných systémov, ktoré spolu tvoria technologický základ systému digitálnych kompetenci</w:t>
            </w:r>
            <w:r>
              <w:rPr>
                <w:rStyle w:val="inline-comment-marker"/>
                <w:b/>
                <w:bCs/>
              </w:rPr>
              <w:t>í</w:t>
            </w:r>
            <w:r>
              <w:rPr>
                <w:b/>
                <w:bCs/>
              </w:rPr>
              <w:t>.</w:t>
            </w:r>
            <w:r>
              <w:rPr>
                <w:b/>
                <w:bCs/>
              </w:rPr>
              <w:t xml:space="preserve"> </w:t>
            </w:r>
            <w:r>
              <w:rPr>
                <w:rStyle w:val="inline-comment-marker"/>
                <w:b/>
                <w:bCs/>
              </w:rPr>
              <w:t>ÚPPVII musí stanoviť regulačný rámec pre túto oblasť a zabezpečiť centrálny systém tak, aby nedochádzalo k di</w:t>
            </w:r>
            <w:r>
              <w:rPr>
                <w:rStyle w:val="inline-comment-marker"/>
                <w:b/>
                <w:bCs/>
              </w:rPr>
              <w:t>skriminácii skupín alebo jednotlivcov. Predpokladá súčinnosť a spoluprácu pri tvorbe metodík, pri zabezpečení vecného obsahu, metodiky pre zvyšovanie úrovne kompetencií resp. hodnotenie úrovne digitálnych kompetencií a podobne s ďalšími centrálnymi rezorta</w:t>
            </w:r>
            <w:r>
              <w:rPr>
                <w:rStyle w:val="inline-comment-marker"/>
                <w:b/>
                <w:bCs/>
              </w:rPr>
              <w:t>mi (napríklad</w:t>
            </w:r>
            <w:r>
              <w:rPr>
                <w:rStyle w:val="inline-comment-marker"/>
                <w:b/>
                <w:bCs/>
              </w:rPr>
              <w:t xml:space="preserve"> </w:t>
            </w:r>
            <w:r>
              <w:rPr>
                <w:rStyle w:val="inline-comment-marker"/>
                <w:b/>
                <w:bCs/>
              </w:rPr>
              <w:t>MPSVaR, NBÚ, ÚOOÚ, MŠVVaŠ S</w:t>
            </w:r>
            <w:r>
              <w:rPr>
                <w:rStyle w:val="inline-comment-marker"/>
                <w:b/>
                <w:bCs/>
              </w:rPr>
              <w:t>R</w:t>
            </w:r>
            <w:r>
              <w:rPr>
                <w:rStyle w:val="inline-comment-marker"/>
                <w:b/>
                <w:bCs/>
              </w:rPr>
              <w:t>)</w:t>
            </w:r>
            <w:r>
              <w:rPr>
                <w:rStyle w:val="inline-comment-marker"/>
                <w:b/>
                <w:bCs/>
              </w:rPr>
              <w:t>.</w:t>
            </w:r>
          </w:p>
          <w:p w:rsidR="00000000" w:rsidRDefault="00501E77">
            <w:pPr>
              <w:pStyle w:val="Normlnywebov"/>
              <w:jc w:val="center"/>
              <w:rPr>
                <w:b/>
                <w:bCs/>
              </w:rPr>
            </w:pPr>
            <w:r>
              <w:rPr>
                <w:b/>
                <w:bCs/>
              </w:rPr>
              <w:t>V súlade s ďalšími reformnými krokmi a cieľmi, podporovanými operačnými programami Ľudské zdroje a Integrovaná infraštruktúra sa ÚPPVII rozhodol pristúpiť k </w:t>
            </w:r>
            <w:r>
              <w:rPr>
                <w:b/>
                <w:bCs/>
              </w:rPr>
              <w:t>implementácii jednotného rámca a k implementácii Digitálneho ekosystému inklúzie, vrátane vybudovania základne pre poskytovanie metodicko-procesnej a aplikačnej podpory pre všetkých používateľov to</w:t>
            </w:r>
            <w:r>
              <w:rPr>
                <w:b/>
                <w:bCs/>
              </w:rPr>
              <w:t>h</w:t>
            </w:r>
            <w:r>
              <w:rPr>
                <w:rStyle w:val="inline-comment-marker"/>
                <w:b/>
                <w:bCs/>
              </w:rPr>
              <w:t>to systém</w:t>
            </w:r>
            <w:r>
              <w:rPr>
                <w:rStyle w:val="inline-comment-marker"/>
                <w:b/>
                <w:bCs/>
              </w:rPr>
              <w:t>u</w:t>
            </w:r>
            <w:r>
              <w:rPr>
                <w:b/>
                <w:bCs/>
              </w:rPr>
              <w:t>. Na zabezpečenie intervenčnej logiky pri realiz</w:t>
            </w:r>
            <w:r>
              <w:rPr>
                <w:b/>
                <w:bCs/>
              </w:rPr>
              <w:t>ácii projektu DEI podporovaného z OPII a projektu Zamestnaj sa, buď KOMPetentný! podporovaného z OPĽZ kde je prijímateľom ŠIOV, ÚPPVII a ŠIOV sa dohodli na súčinnosti, ktorá je formalizovaná Memorandom o</w:t>
            </w:r>
            <w:r>
              <w:rPr>
                <w:b/>
                <w:bCs/>
              </w:rPr>
              <w:t xml:space="preserve"> </w:t>
            </w:r>
            <w:r>
              <w:rPr>
                <w:rStyle w:val="inline-comment-marker"/>
                <w:b/>
                <w:bCs/>
              </w:rPr>
              <w:t>spoluprác</w:t>
            </w:r>
            <w:r>
              <w:rPr>
                <w:rStyle w:val="inline-comment-marker"/>
                <w:b/>
                <w:bCs/>
              </w:rPr>
              <w:t>i</w:t>
            </w:r>
            <w:r>
              <w:rPr>
                <w:b/>
                <w:bCs/>
              </w:rPr>
              <w:t>.</w:t>
            </w:r>
          </w:p>
          <w:p w:rsidR="00000000" w:rsidRDefault="00501E77">
            <w:pPr>
              <w:pStyle w:val="Normlnywebov"/>
              <w:jc w:val="center"/>
              <w:rPr>
                <w:b/>
                <w:bCs/>
              </w:rPr>
            </w:pPr>
            <w:r>
              <w:rPr>
                <w:rStyle w:val="inline-comment-marker"/>
                <w:b/>
                <w:bCs/>
              </w:rPr>
              <w:t>Z vyššie uvedených dôvodov je ÚPPVII jed</w:t>
            </w:r>
            <w:r>
              <w:rPr>
                <w:rStyle w:val="inline-comment-marker"/>
                <w:b/>
                <w:bCs/>
              </w:rPr>
              <w:t>iným vhodným prijímateľom schopným zabezpečiť realizáciu projektu, štandardizáciu metodicko-procesných postupov a distribúciu výsledkov a pozitívnych efektov vo vyššie spomenutých oblastiach</w:t>
            </w:r>
            <w:r>
              <w:rPr>
                <w:rStyle w:val="inline-comment-marker"/>
                <w:b/>
                <w:bCs/>
              </w:rPr>
              <w:t>.</w:t>
            </w:r>
          </w:p>
        </w:tc>
      </w:tr>
      <w:tr w:rsidR="00000000">
        <w:trPr>
          <w:divId w:val="2091996453"/>
          <w:cantSplit/>
          <w:tblCellSpacing w:w="15" w:type="dxa"/>
        </w:trPr>
        <w:tc>
          <w:tcPr>
            <w:tcW w:w="0" w:type="auto"/>
            <w:vAlign w:val="center"/>
            <w:hideMark/>
          </w:tcPr>
          <w:p w:rsidR="00000000" w:rsidRDefault="00501E77">
            <w:pPr>
              <w:pStyle w:val="Normlnywebov"/>
              <w:jc w:val="center"/>
              <w:rPr>
                <w:b/>
                <w:bCs/>
              </w:rPr>
            </w:pPr>
            <w:r>
              <w:rPr>
                <w:rStyle w:val="inline-comment-marker"/>
                <w:b/>
                <w:bCs/>
              </w:rPr>
              <w:t>Príslušnosť národného projektu k relevantnej časti PO7 OPI</w:t>
            </w:r>
            <w:r>
              <w:rPr>
                <w:rStyle w:val="inline-comment-marker"/>
                <w:b/>
                <w:bCs/>
              </w:rPr>
              <w:t>I</w:t>
            </w:r>
          </w:p>
        </w:tc>
        <w:tc>
          <w:tcPr>
            <w:tcW w:w="0" w:type="auto"/>
            <w:vAlign w:val="center"/>
            <w:hideMark/>
          </w:tcPr>
          <w:p w:rsidR="00000000" w:rsidRDefault="00501E77">
            <w:pPr>
              <w:pStyle w:val="Normlnywebov"/>
            </w:pPr>
            <w:r>
              <w:t>Na</w:t>
            </w:r>
            <w:r>
              <w:t>v</w:t>
            </w:r>
            <w:r>
              <w:rPr>
                <w:rStyle w:val="inline-comment-marker"/>
              </w:rPr>
              <w:t>rhovaný národný proje</w:t>
            </w:r>
            <w:r>
              <w:rPr>
                <w:rStyle w:val="inline-comment-marker"/>
              </w:rPr>
              <w:t>k</w:t>
            </w:r>
            <w:r>
              <w:t>t spadá do prioritnej osi PO7 OPII a prispieva k naplneniu nasledujúceho cieľ</w:t>
            </w:r>
            <w:r>
              <w:t>a</w:t>
            </w:r>
            <w:r>
              <w:rPr>
                <w:rStyle w:val="inline-comment-marker"/>
              </w:rPr>
              <w:t>:</w:t>
            </w:r>
          </w:p>
          <w:p w:rsidR="00000000" w:rsidRDefault="00501E77">
            <w:pPr>
              <w:pStyle w:val="Normlnywebov"/>
            </w:pPr>
            <w:r>
              <w:t xml:space="preserve">Investičná priorita 2c) Posilnenie aplikácií IKT v rámci elektronickej štátnej správy, elektronického vzdelávania, elektronickej inklúzie, elektronickej </w:t>
            </w:r>
            <w:r>
              <w:t>kultúry a elektronického zdravotníctva</w:t>
            </w:r>
          </w:p>
          <w:p w:rsidR="00000000" w:rsidRDefault="00501E77">
            <w:pPr>
              <w:pStyle w:val="Normlnywebov"/>
            </w:pPr>
            <w:r>
              <w:t>Kód intervencie 80 - Služby a aplikácie digitálnej integrácie, elektronickej dostupnosti, elektronického vzdelávania, digitálna gramotnosť</w:t>
            </w:r>
          </w:p>
          <w:p w:rsidR="00000000" w:rsidRDefault="00501E77">
            <w:pPr>
              <w:pStyle w:val="Normlnywebov"/>
            </w:pPr>
            <w:r>
              <w:t>ŠPECIFICKÝ CIEĽ 7.4: Zvýšenie kvality, štandardu a dostupnosti eGovernment slu</w:t>
            </w:r>
            <w:r>
              <w:t>žieb pre občanov</w:t>
            </w:r>
          </w:p>
          <w:p w:rsidR="00000000" w:rsidRDefault="00501E77">
            <w:pPr>
              <w:pStyle w:val="Normlnywebov"/>
            </w:pPr>
            <w:r>
              <w:t>Projektový ukazovateľ: Počet zavedených elektronických služieb, ktoré prispievajú k riešeniu životných situácií pre občanov: 4</w:t>
            </w:r>
          </w:p>
          <w:p w:rsidR="00000000" w:rsidRDefault="00501E77">
            <w:pPr>
              <w:pStyle w:val="Normlnywebov"/>
            </w:pPr>
            <w:r>
              <w:t>ŠPECIFICKÝ CIEĽ 7.6: Zlepšenie digitálnych zručností a inklúzie znevýhodnených jednotlivcov do digitálneho trhu</w:t>
            </w:r>
          </w:p>
          <w:p w:rsidR="00000000" w:rsidRDefault="00501E77">
            <w:pPr>
              <w:pStyle w:val="Normlnywebov"/>
            </w:pPr>
            <w:r>
              <w:t>Projektový ukazovateľ: Počet nových alebo modifikovaných elektronických služieb eGovernmentu pre potreby identifikovaných znevýhodnených skupín: 4</w:t>
            </w:r>
          </w:p>
          <w:p w:rsidR="00000000" w:rsidRDefault="00501E77">
            <w:pPr>
              <w:pStyle w:val="Normlnywebov"/>
            </w:pPr>
            <w:r>
              <w:t>Projektový ukazovateľ: Zvýšenie používania elektronických služieb znevýhodnenými skupinami: 230 000 znevýhodn</w:t>
            </w:r>
            <w:r>
              <w:t>ených občanov (po skončení 5. ročného obdobia udržateľnosti)</w:t>
            </w:r>
          </w:p>
          <w:p w:rsidR="00000000" w:rsidRDefault="00501E77">
            <w:pPr>
              <w:pStyle w:val="Normlnywebov"/>
            </w:pPr>
            <w:r>
              <w:t> </w:t>
            </w:r>
          </w:p>
        </w:tc>
      </w:tr>
      <w:tr w:rsidR="00000000">
        <w:trPr>
          <w:divId w:val="2091996453"/>
          <w:cantSplit/>
          <w:tblCellSpacing w:w="15" w:type="dxa"/>
        </w:trPr>
        <w:tc>
          <w:tcPr>
            <w:tcW w:w="0" w:type="auto"/>
            <w:vAlign w:val="center"/>
            <w:hideMark/>
          </w:tcPr>
          <w:p w:rsidR="00000000" w:rsidRDefault="00501E77">
            <w:pPr>
              <w:pStyle w:val="Normlnywebov"/>
              <w:jc w:val="center"/>
              <w:rPr>
                <w:b/>
                <w:bCs/>
              </w:rPr>
            </w:pPr>
            <w:r>
              <w:rPr>
                <w:rStyle w:val="inline-comment-marker"/>
                <w:b/>
                <w:bCs/>
              </w:rPr>
              <w:t>Indikatívna výška finančných prostriedkov určených na realizáciu národného projekt</w:t>
            </w:r>
            <w:r>
              <w:rPr>
                <w:rStyle w:val="inline-comment-marker"/>
                <w:b/>
                <w:bCs/>
              </w:rPr>
              <w:t>u</w:t>
            </w:r>
          </w:p>
        </w:tc>
        <w:tc>
          <w:tcPr>
            <w:tcW w:w="0" w:type="auto"/>
            <w:vAlign w:val="center"/>
            <w:hideMark/>
          </w:tcPr>
          <w:p w:rsidR="00000000" w:rsidRDefault="00501E77">
            <w:pPr>
              <w:pStyle w:val="Normlnywebov"/>
            </w:pPr>
            <w:r>
              <w:rPr>
                <w:rStyle w:val="inline-comment-marker"/>
              </w:rPr>
              <w:t>8 395 670 € s DP</w:t>
            </w:r>
            <w:r>
              <w:rPr>
                <w:rStyle w:val="inline-comment-marker"/>
              </w:rPr>
              <w:t>H</w:t>
            </w:r>
          </w:p>
        </w:tc>
      </w:tr>
    </w:tbl>
    <w:p w:rsidR="00000000" w:rsidRDefault="00501E77">
      <w:pPr>
        <w:pStyle w:val="Normlnywebov"/>
      </w:pPr>
      <w:r>
        <w:t> </w:t>
      </w:r>
    </w:p>
    <w:p w:rsidR="00000000" w:rsidRDefault="00501E77">
      <w:pPr>
        <w:pStyle w:val="Nadpis2"/>
        <w:rPr>
          <w:rFonts w:eastAsia="Times New Roman"/>
        </w:rPr>
      </w:pPr>
      <w:r>
        <w:rPr>
          <w:rStyle w:val="inline-comment-marker"/>
          <w:rFonts w:eastAsia="Times New Roman"/>
        </w:rPr>
        <w:t>Dôvo</w:t>
      </w:r>
      <w:r>
        <w:rPr>
          <w:rStyle w:val="inline-comment-marker"/>
          <w:rFonts w:eastAsia="Times New Roman"/>
        </w:rPr>
        <w:t>d</w:t>
      </w:r>
    </w:p>
    <w:p w:rsidR="00000000" w:rsidRDefault="00501E77">
      <w:pPr>
        <w:pStyle w:val="Normlnywebov"/>
      </w:pPr>
      <w:r>
        <w:rPr>
          <w:rStyle w:val="inline-comment-marker"/>
          <w:i/>
          <w:iCs/>
        </w:rPr>
        <w:t>Dôvo</w:t>
      </w:r>
      <w:r>
        <w:rPr>
          <w:rStyle w:val="inline-comment-marker"/>
          <w:i/>
          <w:iCs/>
        </w:rPr>
        <w:t>d</w:t>
      </w:r>
      <w:r>
        <w:rPr>
          <w:rStyle w:val="Zvraznenie"/>
        </w:rPr>
        <w:t xml:space="preserve"> vykonania štúdie uskutočniteľnosti. Definovanie IT stratégie a </w:t>
      </w:r>
      <w:r>
        <w:rPr>
          <w:rStyle w:val="Zvraznenie"/>
        </w:rPr>
        <w:t>vízie architektúry organizácie verejnej správy.</w:t>
      </w:r>
    </w:p>
    <w:p w:rsidR="00000000" w:rsidRDefault="00501E77">
      <w:pPr>
        <w:pStyle w:val="Normlnywebov"/>
      </w:pPr>
      <w:r>
        <w:t>Predložená štúdia uskutočniteľnosti vznikla preto, aby navrhla riešenie pre zavedenie centrálneho systému hodnotenia a certifikácie kognitívnych úrovní digitálnych kompetencií občanov s dôrazom na znevýhodnen</w:t>
      </w:r>
      <w:r>
        <w:t>é skupiny obyvateľstva a zároveň vytvorila centrálne komponenty systému hodnotenia a certifikácie využiteľné ako orgánmi verejnej správy, tak aj zamestnávateľmi .</w:t>
      </w:r>
    </w:p>
    <w:p w:rsidR="00000000" w:rsidRDefault="00501E77">
      <w:pPr>
        <w:pStyle w:val="Normlnywebov"/>
      </w:pPr>
      <w:r>
        <w:t>Štúdia popisuje riešenie dopytu zamestnávateľov (RÚZ), ktorí na efektívne riadenie ľudských z</w:t>
      </w:r>
      <w:r>
        <w:t>drojov potrebujú najmä:</w:t>
      </w:r>
    </w:p>
    <w:p w:rsidR="00000000" w:rsidRDefault="00501E77">
      <w:pPr>
        <w:pStyle w:val="Normlnywebov"/>
      </w:pPr>
      <w:r>
        <w:t>-        jednoznačne poznať úrovne digitálnych kompetencií zamestnancov, resp. budúcich zamestnancov, ktoré nepodliehajú častým zmenám spôsobených rozvojom IKT,</w:t>
      </w:r>
    </w:p>
    <w:p w:rsidR="00000000" w:rsidRDefault="00501E77">
      <w:pPr>
        <w:pStyle w:val="Normlnywebov"/>
      </w:pPr>
      <w:r>
        <w:t>-        jednoznačne a univerzálne definovať kvalifikačný predpoklad v </w:t>
      </w:r>
      <w:r>
        <w:t>informatike,</w:t>
      </w:r>
    </w:p>
    <w:p w:rsidR="00000000" w:rsidRDefault="00501E77">
      <w:pPr>
        <w:pStyle w:val="Normlnywebov"/>
      </w:pPr>
      <w:r>
        <w:t>-        mať prístup k hodnoteniu a certifikácii, ktorá jednoznačne overí splnenie kvalifikačného predpokladu v informatike na škále A1 až B2,</w:t>
      </w:r>
    </w:p>
    <w:p w:rsidR="00000000" w:rsidRDefault="00501E77">
      <w:pPr>
        <w:pStyle w:val="Normlnywebov"/>
      </w:pPr>
      <w:r>
        <w:t>-        poznať priemernú úroveň digitálnych kompetencií zamestnancov v neinformatických povolaniach</w:t>
      </w:r>
      <w:r>
        <w:t>, aby vedeli efektívne riadiť ľudské zdroje.</w:t>
      </w:r>
    </w:p>
    <w:p w:rsidR="00000000" w:rsidRDefault="00501E77">
      <w:pPr>
        <w:pStyle w:val="Normlnywebov"/>
      </w:pPr>
      <w:r>
        <w:t>V súčasnosti existuje široká ponuka certifikátov pre overenie jednotlivých zručností (certifikáty výrobcov programového vybavenia, ECDL, ...), ale žiadny, ktorý by komplexne určil všeobecné úrovne digitálnych ko</w:t>
      </w:r>
      <w:r>
        <w:t>mpetencií.</w:t>
      </w:r>
    </w:p>
    <w:p w:rsidR="00000000" w:rsidRDefault="00501E77">
      <w:pPr>
        <w:pStyle w:val="Normlnywebov"/>
      </w:pPr>
      <w:r>
        <w:t>Dnes totiž nevieme presne stanoviť úroveň digitálnych kompetencií. Vieme len certifikovať zručnosti a vedomosti formou lineárnych testov. Týchto certifikátov je veľké množstvo a zamestnávateľ medzi nimi vyberá väčšinou len na základe svojich akú</w:t>
      </w:r>
      <w:r>
        <w:t>tnych a aktuálnych potrieb, ktoré sa často menia. Z daného dôvodu zamestnávatelia nevyžadujú certifikát, pokiaľ nezamestnávajú špecialistu. V súčasnosti certifikát z</w:t>
      </w:r>
      <w:r>
        <w:t> </w:t>
      </w:r>
      <w:r>
        <w:rPr>
          <w:rStyle w:val="inline-comment-marker"/>
        </w:rPr>
        <w:t>informatik</w:t>
      </w:r>
      <w:r>
        <w:rPr>
          <w:rStyle w:val="inline-comment-marker"/>
        </w:rPr>
        <w:t>y</w:t>
      </w:r>
      <w:r>
        <w:t xml:space="preserve"> nie je pridanou hodnotou pre uchádzača o zamestnanie v neinformatických zamest</w:t>
      </w:r>
      <w:r>
        <w:t xml:space="preserve">naniach, pretože zamestnávateľ reálne nepozná presnú úroveň, ktorú má vyžadovať a ani spôsob jej overenia, napr. konkrétny certifikát. Z pohľadu zamestnanca je rovnaký problém, ak nie je špecialista v oblasti informatiky, nevie presne určiť, čo by mal pre </w:t>
      </w:r>
      <w:r>
        <w:t>potreby trhu práce v tejto oblasti presne rozvíjať. Keďže úroveň rozvoja dispozícií (kompetencií) nie je momentálne pridanou hodnotou na trhu práce v neinformatických zamestnaniach, zamestnanec nie je motivovaný rozvíjať tieto dispozície (kompetencie), res</w:t>
      </w:r>
      <w:r>
        <w:t>p. sa ďalej vzdelávať v tejto oblasti. Zároveň dochádza k tomu, že dodávatelia informačných systémov pre rôzne oblasti trhu práce, vrátane e-governmentu, nepoznajú úroveň budúcich užívateľov, čo často  spôsobuje, že systémy sú tak náročné, že ich užívateli</w:t>
      </w:r>
      <w:r>
        <w:t>a nevedia používať, mnohé projekty sa tak stávajú nepoužiteľnými a nefunkčnými.</w:t>
      </w:r>
    </w:p>
    <w:p w:rsidR="00000000" w:rsidRDefault="00501E77">
      <w:pPr>
        <w:pStyle w:val="Normlnywebov"/>
      </w:pPr>
      <w:r>
        <w:t>Súčasné testovania v oblasti IKT zručností sú založené na dostupných rámcoch (ako napr. DigComp), ktoré fungujú ako klasické štandardy. Znamená to, že skupina odborníkov z rôzn</w:t>
      </w:r>
      <w:r>
        <w:t>ych oblastí sa dohodne, ktoré vedomosti, resp. zručnosti je potrebné sledovať, rozvíjať, certifikovať a pod. v danom čase. Takéto rámce sa často menia a dopĺňajú vzhľadom na to, že vedomosti a najmä zručnosti v oblasti IKT sa rýchlo menia a dopĺňajú. Ide p</w:t>
      </w:r>
      <w:r>
        <w:t>ritom o rámce, ktoré zahŕňajú niekoľko oblastí rozvoja zo síce uzavretým, ale veľmi dlhým zoznamom vedomostí a zručností. DigComp sa správne reviduje každý rok. Nemožno teda hovoriť o univerzalite vzhľadom na to, že takýto typ štandardu funguje na zhode vš</w:t>
      </w:r>
      <w:r>
        <w:t>etkých zainteresovaných strán, ktoré ho vytvárajú.</w:t>
      </w:r>
    </w:p>
    <w:p w:rsidR="00000000" w:rsidRDefault="00501E77">
      <w:pPr>
        <w:pStyle w:val="Normlnywebov"/>
      </w:pPr>
      <w:r>
        <w:t>Predložená štúdia sa zakladá na vytvorení certifikácie na základe rámca, ktorý exaktne opisuje kognitívne procesy, ktoré sú základom informatiky, najmä z oblasti logiky a rozvoja kritického myslenia a to f</w:t>
      </w:r>
      <w:r>
        <w:t>ormou rozlišovacích testov. Základom týchto procesov nie sú vedomosti ani zručnosti, tie sú ich výsledkom, ale dispozície (kompetencie), s ktorými sa človek rodí a ktoré počas života rozvíja. Tieto dispozície sú nemenné, tento typ rámca jedenkrát vytvorený</w:t>
      </w:r>
      <w:r>
        <w:t xml:space="preserve"> sa ďalej nemení. Je možné ho len dopĺňať presnejšími opismi týchto procesov. Z toho dôvodu hodnotenie a certifikácia založená na takomto základe dáva riešenie na dopyt zamestnávateľov, zamestnancov, ale aj dodávateľov IT riešení po poznaní úrovní digitáln</w:t>
      </w:r>
      <w:r>
        <w:t>ych kompetencií jednotlivcov. </w:t>
      </w:r>
    </w:p>
    <w:p w:rsidR="00000000" w:rsidRDefault="00501E77">
      <w:pPr>
        <w:pStyle w:val="Normlnywebov"/>
      </w:pPr>
      <w:r>
        <w:t>Aby uvedený stav bolo možné dosiahnuť, je teda potrebné vytvoriť taký typ hodnotenia a certifikácie, ktorý umožní stanoviť kognitívnu úroveň digitálnych kompetencií jednotlivcov a to pomocou rozlišovacieho nie lineárneho  tes</w:t>
      </w:r>
      <w:r>
        <w:t xml:space="preserve">tovania. (Lineárny test vie overiť či to, čo sme sa mali naučiť vieme alebo nie v zmysle vedomostí a do určitej miery vie overiť aj určitý súbor izolovaných zručností, napr. autoškola, je zrejmé kto má prednosť, kedy zapnúť svetlá a pod. Či však testovaný </w:t>
      </w:r>
      <w:r>
        <w:t>vie šoférovať, v zmysle zručnosti sa dá len predpokladať, preto sa musí skladať praktická skúška. Ak skúšku zloží, ešte to neznamená, že vie akú úroveň ovládania vozidla v rôznych kontextoch má. Rozlišovací test rozlišuje úroveň ovládania v našom prípade i</w:t>
      </w:r>
      <w:r>
        <w:t xml:space="preserve">nformatiky. Zatiaľ takýto test pre informatiku neexistuje, nakoľko úroveň ovládania nie je rámcom definovaná, teda opísaná formou deskriptorov. Tento typ testu identifikuje na akej úrovni testovaný vie riešiť problémy v kontexte IKT za pomoci informatiky. </w:t>
      </w:r>
      <w:r>
        <w:t xml:space="preserve">Napríklad v jazykoch kde rámec existuje, dokáže tento typ testu v jednom testovaní identifikovať na akej úrovni testovaný ovláda čítanie, písanie, počúvanie, dialógy a samostatný ústny prejav v rôznych jazykoch na škále A1 (úplný začiatočník) až po úroveň </w:t>
      </w:r>
      <w:r>
        <w:t xml:space="preserve">C2 </w:t>
      </w:r>
      <w:r>
        <w:t>(</w:t>
      </w:r>
      <w:r>
        <w:rPr>
          <w:rStyle w:val="inline-comment-marker"/>
        </w:rPr>
        <w:t>roden</w:t>
      </w:r>
      <w:r>
        <w:rPr>
          <w:rStyle w:val="inline-comment-marker"/>
        </w:rPr>
        <w:t>ý</w:t>
      </w:r>
      <w:r>
        <w:t xml:space="preserve"> hovoriaci). Nie je dôležité či testovaný vie čo je minulý čas a ani kedy ho má použiť, ale kontextuálne vie, ktorý čas kedy použiť.) </w:t>
      </w:r>
    </w:p>
    <w:p w:rsidR="00000000" w:rsidRDefault="00501E77">
      <w:pPr>
        <w:pStyle w:val="Normlnywebov"/>
      </w:pPr>
      <w:r>
        <w:t>Potrebu riešenia certifikácie a hodnotenia kognitívnych úrovní digitálnych kompetencií podporujú aj nižšie uved</w:t>
      </w:r>
      <w:r>
        <w:t>ené analýzy.</w:t>
      </w:r>
    </w:p>
    <w:p w:rsidR="00000000" w:rsidRDefault="00501E77">
      <w:pPr>
        <w:pStyle w:val="Normlnywebov"/>
      </w:pPr>
      <w:r>
        <w:t>Dostupné analýzy, na ktoré nadväzuje štúdia:</w:t>
      </w:r>
    </w:p>
    <w:p w:rsidR="00000000" w:rsidRDefault="00501E77">
      <w:pPr>
        <w:numPr>
          <w:ilvl w:val="0"/>
          <w:numId w:val="5"/>
        </w:numPr>
        <w:spacing w:before="100" w:beforeAutospacing="1" w:after="100" w:afterAutospacing="1"/>
        <w:rPr>
          <w:rFonts w:eastAsia="Times New Roman"/>
        </w:rPr>
      </w:pPr>
      <w:r>
        <w:rPr>
          <w:rFonts w:eastAsia="Times New Roman"/>
        </w:rPr>
        <w:t>Na základe Národnej správy PIAAC 2013 21,7% obyvateľstva Slovenska nemá skúsenosti s IKT alebo jej chýba základná počítačová gramotnosť potrebná na využívanie IKT v každodennom živote. Slovensko pat</w:t>
      </w:r>
      <w:r>
        <w:rPr>
          <w:rFonts w:eastAsia="Times New Roman"/>
        </w:rPr>
        <w:t>rí medzi krajiny s jedným z najvyšších podielov takýchto ľudí.</w:t>
      </w:r>
    </w:p>
    <w:p w:rsidR="00000000" w:rsidRDefault="00501E77">
      <w:pPr>
        <w:numPr>
          <w:ilvl w:val="0"/>
          <w:numId w:val="5"/>
        </w:numPr>
        <w:spacing w:before="100" w:beforeAutospacing="1" w:after="100" w:afterAutospacing="1"/>
        <w:rPr>
          <w:rFonts w:eastAsia="Times New Roman"/>
        </w:rPr>
      </w:pPr>
      <w:r>
        <w:rPr>
          <w:rFonts w:eastAsia="Times New Roman"/>
        </w:rPr>
        <w:t>Na základe “Automation, skills use and training”</w:t>
      </w:r>
      <w:hyperlink r:id="rId8" w:history="1">
        <w:r>
          <w:rPr>
            <w:rStyle w:val="Hypertextovprepojenie"/>
            <w:rFonts w:eastAsia="Times New Roman"/>
            <w:vertAlign w:val="superscript"/>
          </w:rPr>
          <w:t>[4]</w:t>
        </w:r>
      </w:hyperlink>
      <w:r>
        <w:rPr>
          <w:rFonts w:eastAsia="Times New Roman"/>
        </w:rPr>
        <w:t xml:space="preserve"> 33% všetkých zamestnaneckých miest v Slovenskej republike je v </w:t>
      </w:r>
      <w:r>
        <w:rPr>
          <w:rFonts w:eastAsia="Times New Roman"/>
        </w:rPr>
        <w:t>najbližších desaťročiach na 62% ohrozených automatizáciou, pričom Slovensko je najviac ohrozenou krajinou spomedzi všetkých skúmaných krajín OECD, najmä z dôvodu štruktúry zamestnaneckých miest a nízkou úrovňou ovládania všeobecných kompetencií jej občanov</w:t>
      </w:r>
      <w:r>
        <w:rPr>
          <w:rFonts w:eastAsia="Times New Roman"/>
        </w:rPr>
        <w:t xml:space="preserve"> (kritická je úroveň komunikačných a informatických kompetencií).</w:t>
      </w:r>
    </w:p>
    <w:p w:rsidR="00000000" w:rsidRDefault="00501E77">
      <w:pPr>
        <w:pStyle w:val="Normlnywebov"/>
        <w:ind w:left="450"/>
      </w:pPr>
      <w:r>
        <w:t>V kontexte Národnej správy PIAAC a analýzy OECD v rámci projektu PISA:</w:t>
      </w:r>
    </w:p>
    <w:p w:rsidR="00000000" w:rsidRDefault="00501E77">
      <w:pPr>
        <w:numPr>
          <w:ilvl w:val="0"/>
          <w:numId w:val="6"/>
        </w:numPr>
        <w:spacing w:before="100" w:beforeAutospacing="1" w:after="100" w:afterAutospacing="1"/>
        <w:rPr>
          <w:rFonts w:eastAsia="Times New Roman"/>
        </w:rPr>
      </w:pPr>
      <w:r>
        <w:rPr>
          <w:rFonts w:eastAsia="Times New Roman"/>
        </w:rPr>
        <w:t>narastá dôležitosť a potreba získavania objektívnych informácií o </w:t>
      </w:r>
      <w:r>
        <w:rPr>
          <w:rFonts w:eastAsia="Times New Roman"/>
        </w:rPr>
        <w:t>úrovni digitálnych kompetencií obyvateľov za účelom rozvoja trhu práce a súčasne zvyšovanie a certifikácie digitálnych kompetencií znevýhodnených občanov pre ich rýchlejšie plnohodnotné začlenenie do spoločnosti, </w:t>
      </w:r>
    </w:p>
    <w:p w:rsidR="00000000" w:rsidRDefault="00501E77">
      <w:pPr>
        <w:numPr>
          <w:ilvl w:val="0"/>
          <w:numId w:val="6"/>
        </w:numPr>
        <w:spacing w:before="100" w:beforeAutospacing="1" w:after="240"/>
        <w:rPr>
          <w:rFonts w:eastAsia="Times New Roman"/>
        </w:rPr>
      </w:pPr>
      <w:r>
        <w:rPr>
          <w:rFonts w:eastAsia="Times New Roman"/>
        </w:rPr>
        <w:t>je výrazná súvislosť medzi úrovňou informa</w:t>
      </w:r>
      <w:r>
        <w:rPr>
          <w:rFonts w:eastAsia="Times New Roman"/>
        </w:rPr>
        <w:t>čných zručností a kvalitou života. Ľudia, ktorí sa umiestnili na najnižších stupňoch testovaných zručností, častejšie uvádzajú zdravotné problémy, menej dôverujú iným a silnejšie pociťujú neschopnosť ovplyvňovať spoločenský život vo svojom okolí.</w:t>
      </w:r>
    </w:p>
    <w:p w:rsidR="00000000" w:rsidRDefault="00501E77">
      <w:pPr>
        <w:pStyle w:val="Normlnywebov"/>
        <w:divId w:val="2118482582"/>
      </w:pPr>
      <w:r>
        <w:t>Hoci sa</w:t>
      </w:r>
      <w:r>
        <w:t xml:space="preserve"> predložená štúdia primárne zameriava na vytvorenie nástroja pre hodnotenie a certifikáciu digitálnych kompetencií, vytvorený centrálny komponent pre certifikáciu bude dostupný ďalším orgnizáciám (predovšetkým v rámci VS), ktoré ho budú môcť využiť za účel</w:t>
      </w:r>
      <w:r>
        <w:t>om certifikácie aj v iných oblastiach.</w:t>
      </w:r>
    </w:p>
    <w:p w:rsidR="00000000" w:rsidRDefault="00501E77">
      <w:pPr>
        <w:pStyle w:val="Normlnywebov"/>
        <w:divId w:val="2118482582"/>
      </w:pPr>
    </w:p>
    <w:p w:rsidR="00000000" w:rsidRDefault="00501E77">
      <w:pPr>
        <w:pStyle w:val="Normlnywebov"/>
        <w:divId w:val="2118482582"/>
      </w:pPr>
      <w:r>
        <w:rPr>
          <w:rStyle w:val="Siln"/>
        </w:rPr>
        <w:t>Predložená štúdia pre riešenie hodnotenia a certifikácie úrovní kompetencií adekvátne zohľadňuje :</w:t>
      </w:r>
    </w:p>
    <w:p w:rsidR="00000000" w:rsidRDefault="00501E77">
      <w:pPr>
        <w:pStyle w:val="Normlnywebov"/>
        <w:divId w:val="2118482582"/>
      </w:pPr>
      <w:r>
        <w:t>A)    4. cieľ udržateľného rozvoja Agendy 2030 - Zabezpečiť inkluzívne, spravodlivé a kvalitné vzdelávanie a podporo</w:t>
      </w:r>
      <w:r>
        <w:t>vať celoživotné vzdelávacie príležitosti pre všetkých; najmä:</w:t>
      </w:r>
    </w:p>
    <w:p w:rsidR="00000000" w:rsidRDefault="00501E77">
      <w:pPr>
        <w:pStyle w:val="color"/>
        <w:ind w:left="450"/>
        <w:divId w:val="2118482582"/>
      </w:pPr>
      <w:r>
        <w:t>4.4 Do roku 2030 výrazne zvýšiť počet mladých a dospelých, ktorí majú potrebné zručnosti vrátane technických a odborných, ktoré budú predpokladom pre zamestnanie, dôstojné pracovné zaradenia a p</w:t>
      </w:r>
      <w:r>
        <w:t>re podnikanie</w:t>
      </w:r>
    </w:p>
    <w:p w:rsidR="00000000" w:rsidRDefault="00501E77">
      <w:pPr>
        <w:pStyle w:val="Normlnywebov"/>
        <w:divId w:val="2118482582"/>
      </w:pPr>
      <w:r>
        <w:t xml:space="preserve">B)   Incheonskú deklaráciu Vzdelávanie 2030, ods. 10 </w:t>
      </w:r>
      <w:hyperlink r:id="rId9" w:history="1">
        <w:r>
          <w:rPr>
            <w:rStyle w:val="Hypertextovprepojenie"/>
            <w:vertAlign w:val="superscript"/>
          </w:rPr>
          <w:t>[5]</w:t>
        </w:r>
      </w:hyperlink>
    </w:p>
    <w:p w:rsidR="00000000" w:rsidRDefault="00501E77">
      <w:pPr>
        <w:pStyle w:val="Normlnywebov"/>
        <w:divId w:val="2118482582"/>
      </w:pPr>
      <w:r>
        <w:t>C)     Na úrovni EÚ bol vytvorený celý rad referenčných rámcov (</w:t>
      </w:r>
      <w:r>
        <w:t>základ pre hodnotenie a certifikáciu) opisujúcich vedomosti a zručnosti, ktoré sú potrebné pre efektívne využívanie IKT pre rôzne cieľové skupiny. Za všetky môžeme spomenúť:</w:t>
      </w:r>
    </w:p>
    <w:p w:rsidR="00000000" w:rsidRDefault="00501E77">
      <w:pPr>
        <w:numPr>
          <w:ilvl w:val="0"/>
          <w:numId w:val="7"/>
        </w:numPr>
        <w:spacing w:before="100" w:beforeAutospacing="1" w:after="100" w:afterAutospacing="1"/>
        <w:divId w:val="2118482582"/>
        <w:rPr>
          <w:rFonts w:eastAsia="Times New Roman"/>
        </w:rPr>
      </w:pPr>
      <w:r>
        <w:rPr>
          <w:rFonts w:eastAsia="Times New Roman"/>
        </w:rPr>
        <w:t>2011: Mapping Digital Competence: Towards a Conceptual Understanding,</w:t>
      </w:r>
    </w:p>
    <w:p w:rsidR="00000000" w:rsidRDefault="00501E77">
      <w:pPr>
        <w:numPr>
          <w:ilvl w:val="0"/>
          <w:numId w:val="7"/>
        </w:numPr>
        <w:spacing w:before="100" w:beforeAutospacing="1" w:after="100" w:afterAutospacing="1"/>
        <w:divId w:val="2118482582"/>
        <w:rPr>
          <w:rFonts w:eastAsia="Times New Roman"/>
        </w:rPr>
      </w:pPr>
      <w:r>
        <w:rPr>
          <w:rFonts w:eastAsia="Times New Roman"/>
        </w:rPr>
        <w:t>2012: Report</w:t>
      </w:r>
      <w:r>
        <w:rPr>
          <w:rFonts w:eastAsia="Times New Roman"/>
        </w:rPr>
        <w:t xml:space="preserve"> on Online consultation Experts' views digital competence,</w:t>
      </w:r>
    </w:p>
    <w:p w:rsidR="00000000" w:rsidRDefault="00501E77">
      <w:pPr>
        <w:numPr>
          <w:ilvl w:val="0"/>
          <w:numId w:val="7"/>
        </w:numPr>
        <w:spacing w:before="100" w:beforeAutospacing="1" w:after="100" w:afterAutospacing="1"/>
        <w:divId w:val="2118482582"/>
        <w:rPr>
          <w:rFonts w:eastAsia="Times New Roman"/>
        </w:rPr>
      </w:pPr>
      <w:r>
        <w:rPr>
          <w:rFonts w:eastAsia="Times New Roman"/>
        </w:rPr>
        <w:t>2012: Digital Competence in Practice: An Analysis of Frameworks,</w:t>
      </w:r>
    </w:p>
    <w:p w:rsidR="00000000" w:rsidRDefault="00501E77">
      <w:pPr>
        <w:numPr>
          <w:ilvl w:val="0"/>
          <w:numId w:val="7"/>
        </w:numPr>
        <w:spacing w:before="100" w:beforeAutospacing="1" w:after="100" w:afterAutospacing="1"/>
        <w:divId w:val="2118482582"/>
        <w:rPr>
          <w:rFonts w:eastAsia="Times New Roman"/>
        </w:rPr>
      </w:pPr>
      <w:r>
        <w:rPr>
          <w:rFonts w:eastAsia="Times New Roman"/>
        </w:rPr>
        <w:t>2013: DIGCOMP: A Framework for Developing and Understanding Digital Competence in Europe,</w:t>
      </w:r>
    </w:p>
    <w:p w:rsidR="00000000" w:rsidRDefault="00501E77">
      <w:pPr>
        <w:numPr>
          <w:ilvl w:val="0"/>
          <w:numId w:val="7"/>
        </w:numPr>
        <w:spacing w:before="100" w:beforeAutospacing="1" w:after="100" w:afterAutospacing="1"/>
        <w:divId w:val="2118482582"/>
        <w:rPr>
          <w:rFonts w:eastAsia="Times New Roman"/>
        </w:rPr>
      </w:pPr>
      <w:r>
        <w:rPr>
          <w:rFonts w:eastAsia="Times New Roman"/>
        </w:rPr>
        <w:t xml:space="preserve">2016: DigComp 2.0: The Digital Competence </w:t>
      </w:r>
      <w:r>
        <w:rPr>
          <w:rFonts w:eastAsia="Times New Roman"/>
        </w:rPr>
        <w:t>Framework for Citizens. Update Phase 1: the Conceptual Reference Model,</w:t>
      </w:r>
    </w:p>
    <w:p w:rsidR="00000000" w:rsidRDefault="00501E77">
      <w:pPr>
        <w:numPr>
          <w:ilvl w:val="0"/>
          <w:numId w:val="7"/>
        </w:numPr>
        <w:spacing w:before="100" w:beforeAutospacing="1" w:after="100" w:afterAutospacing="1"/>
        <w:divId w:val="2118482582"/>
        <w:rPr>
          <w:rFonts w:eastAsia="Times New Roman"/>
        </w:rPr>
      </w:pPr>
      <w:r>
        <w:rPr>
          <w:rFonts w:eastAsia="Times New Roman"/>
        </w:rPr>
        <w:t>2017: DigComp 2.1: The Digital Competence Framework for Citizens with eight proficiency levels and examples of use.</w:t>
      </w:r>
    </w:p>
    <w:p w:rsidR="00000000" w:rsidRDefault="00501E77">
      <w:pPr>
        <w:pStyle w:val="Normlnywebov"/>
        <w:ind w:left="450"/>
        <w:divId w:val="2118482582"/>
      </w:pPr>
      <w:r>
        <w:t xml:space="preserve">Keďže využívanie vyššie uvedených referenčných nástrojov vyžadovalo </w:t>
      </w:r>
      <w:r>
        <w:t>spracovanie veľkého počtu dokumentácie a stávalo sa relatívne neprehľadným, bola vytvorená v rámci európskej iniciatívy  DigComp into Action</w:t>
      </w:r>
      <w:hyperlink r:id="rId10" w:history="1">
        <w:r>
          <w:rPr>
            <w:rStyle w:val="Hypertextovprepojenie"/>
            <w:vertAlign w:val="superscript"/>
          </w:rPr>
          <w:t>[6]</w:t>
        </w:r>
      </w:hyperlink>
      <w:r>
        <w:t>, príručka</w:t>
      </w:r>
      <w:r>
        <w:t>, určená všetkým, ktorí majú záujem vytvárať ďalšie nástroje zvyšovania digitálnej gramotnosti Európanov, a ktorá ponúka analytický prehľad všetkých dostupných referenčných nástrojov. Pre účely vytvorenia inovatívneho rámca môžeme konštatovať, že:</w:t>
      </w:r>
    </w:p>
    <w:p w:rsidR="00000000" w:rsidRDefault="00501E77">
      <w:pPr>
        <w:numPr>
          <w:ilvl w:val="0"/>
          <w:numId w:val="8"/>
        </w:numPr>
        <w:spacing w:before="100" w:beforeAutospacing="1" w:after="100" w:afterAutospacing="1"/>
        <w:divId w:val="2118482582"/>
        <w:rPr>
          <w:rFonts w:eastAsia="Times New Roman"/>
        </w:rPr>
      </w:pPr>
      <w:r>
        <w:rPr>
          <w:rFonts w:eastAsia="Times New Roman"/>
        </w:rPr>
        <w:t>nie je m</w:t>
      </w:r>
      <w:r>
        <w:rPr>
          <w:rFonts w:eastAsia="Times New Roman"/>
        </w:rPr>
        <w:t>ožné nájsť v príručke opis referenčných úrovní, ktoré by neskôr umožnili jednoznačné, jednoduché a univerzálne overenie úrovní digitálnych kompetencií,</w:t>
      </w:r>
    </w:p>
    <w:p w:rsidR="00000000" w:rsidRDefault="00501E77">
      <w:pPr>
        <w:numPr>
          <w:ilvl w:val="0"/>
          <w:numId w:val="8"/>
        </w:numPr>
        <w:spacing w:before="100" w:beforeAutospacing="1" w:after="100" w:afterAutospacing="1"/>
        <w:divId w:val="2118482582"/>
        <w:rPr>
          <w:rFonts w:eastAsia="Times New Roman"/>
        </w:rPr>
      </w:pPr>
      <w:r>
        <w:rPr>
          <w:rFonts w:eastAsia="Times New Roman"/>
        </w:rPr>
        <w:t>v príručke je digitálna kompetencia popísaná ako súhrn vedomostí a zručností, ktoré sú efektívne využíva</w:t>
      </w:r>
      <w:r>
        <w:rPr>
          <w:rFonts w:eastAsia="Times New Roman"/>
        </w:rPr>
        <w:t>ne v piatich oblastiach využívania IKT,</w:t>
      </w:r>
    </w:p>
    <w:p w:rsidR="00000000" w:rsidRDefault="00501E77">
      <w:pPr>
        <w:numPr>
          <w:ilvl w:val="0"/>
          <w:numId w:val="8"/>
        </w:numPr>
        <w:spacing w:before="100" w:beforeAutospacing="1" w:after="100" w:afterAutospacing="1"/>
        <w:divId w:val="2118482582"/>
        <w:rPr>
          <w:rFonts w:eastAsia="Times New Roman"/>
        </w:rPr>
      </w:pPr>
      <w:r>
        <w:rPr>
          <w:rFonts w:eastAsia="Times New Roman"/>
        </w:rPr>
        <w:t>príručka poskytuje ucelený návod ako, a ktoré časti používať s dôrazom na cieľovú skupinu a jej potreby v rôznych oblastiach života, avšak žiadna z častí nemôže byť využitá pre účely stanovenia kognitívnych úrovní di</w:t>
      </w:r>
      <w:r>
        <w:rPr>
          <w:rFonts w:eastAsia="Times New Roman"/>
        </w:rPr>
        <w:t>gitálnych kompetencií.</w:t>
      </w:r>
    </w:p>
    <w:p w:rsidR="00000000" w:rsidRDefault="00501E77">
      <w:pPr>
        <w:pStyle w:val="Normlnywebov"/>
        <w:ind w:left="450"/>
        <w:divId w:val="2118482582"/>
      </w:pPr>
      <w:r>
        <w:t>Porovnanie súčasnej ponuky a riešenia, pre ktoré vznikla ŠU:</w:t>
      </w:r>
    </w:p>
    <w:p w:rsidR="00000000" w:rsidRDefault="00501E77">
      <w:pPr>
        <w:pStyle w:val="Normlnywebov"/>
        <w:ind w:left="450"/>
        <w:divId w:val="2118482582"/>
      </w:pPr>
      <w:r>
        <w:t>Európske referenčníky a rámce definujú kľúčovú digitálnu kompetenciu v 5 úrovniach aplikácie v pracovnom prostredí (plánovanie, vývoj, využívanie, zjednodušovanie, riadenie</w:t>
      </w:r>
      <w:r>
        <w:t>). Pre tieto úrovne definuje 40 rôznych kompetencií, ktoré pokrývajú rôznorodé témy v oblasti IKT. Tento typ nástroja však nie je vyhovujúci pre potreby hodnotenia úrovní digitálnych kompetencií občanov, pretože jednotlivé typy kompetencií sú stanovené tem</w:t>
      </w:r>
      <w:r>
        <w:t>aticky a nie kognitívne. Problémom je najmä definovanie úrovní vzhľadom na fakt, že úroveň digitálnych kompetencií nesmie podliehať tematickým okruhom, ale kognitívnej úrovni podobne ako v cudzích jazykoch:</w:t>
      </w:r>
    </w:p>
    <w:p w:rsidR="00000000" w:rsidRDefault="00501E77">
      <w:pPr>
        <w:pStyle w:val="Normlnywebov"/>
        <w:ind w:left="450"/>
        <w:divId w:val="2118482582"/>
      </w:pPr>
      <w:r>
        <w:t>-        A1 – A2 = základná úroveň digitálnych ko</w:t>
      </w:r>
      <w:r>
        <w:t>mpetencií,</w:t>
      </w:r>
    </w:p>
    <w:p w:rsidR="00000000" w:rsidRDefault="00501E77">
      <w:pPr>
        <w:pStyle w:val="Normlnywebov"/>
        <w:ind w:left="450"/>
        <w:divId w:val="2118482582"/>
      </w:pPr>
      <w:r>
        <w:t>-        B1 – B2 = špecifická/všeobecná úroveň digitálnych kompetencií,</w:t>
      </w:r>
    </w:p>
    <w:p w:rsidR="00000000" w:rsidRDefault="00501E77">
      <w:pPr>
        <w:pStyle w:val="Normlnywebov"/>
        <w:ind w:left="450"/>
        <w:divId w:val="2118482582"/>
      </w:pPr>
      <w:r>
        <w:t>-        C1 – C2 = úroveň špecializácie digitálnych kompetencií.</w:t>
      </w:r>
    </w:p>
    <w:p w:rsidR="00000000" w:rsidRDefault="00501E77">
      <w:pPr>
        <w:pStyle w:val="Normlnywebov"/>
        <w:ind w:left="450"/>
        <w:divId w:val="2118482582"/>
      </w:pPr>
      <w:r>
        <w:t>Pre celkové hodnotenie a certifikáciu jednotlivcov je nutné pracovať s </w:t>
      </w:r>
      <w:r>
        <w:t>maximálne 5 kompetenciami, ktoré však musia pokrývať celú doménu informatiky v oblasti IKT. </w:t>
      </w:r>
    </w:p>
    <w:p w:rsidR="00000000" w:rsidRDefault="00501E77">
      <w:pPr>
        <w:pStyle w:val="Normlnywebov"/>
        <w:divId w:val="2118482582"/>
      </w:pPr>
      <w:r>
        <w:t>D)    Odporúčania Európskej Rady z 22. mája 2018 o kľúčových kompetenciách  pre celoživotné vzdelávanie</w:t>
      </w:r>
      <w:hyperlink r:id="rId11" w:history="1">
        <w:r>
          <w:rPr>
            <w:rStyle w:val="Hypertextovprepojenie"/>
            <w:vertAlign w:val="superscript"/>
          </w:rPr>
          <w:t>[6]</w:t>
        </w:r>
      </w:hyperlink>
      <w:r>
        <w:t>: </w:t>
      </w:r>
    </w:p>
    <w:p w:rsidR="00000000" w:rsidRDefault="00501E77">
      <w:pPr>
        <w:numPr>
          <w:ilvl w:val="0"/>
          <w:numId w:val="9"/>
        </w:numPr>
        <w:spacing w:before="100" w:beforeAutospacing="1" w:after="100" w:afterAutospacing="1"/>
        <w:ind w:left="1440"/>
        <w:divId w:val="2118482582"/>
        <w:rPr>
          <w:rFonts w:eastAsia="Times New Roman"/>
        </w:rPr>
      </w:pPr>
    </w:p>
    <w:p w:rsidR="00000000" w:rsidRDefault="00501E77">
      <w:pPr>
        <w:numPr>
          <w:ilvl w:val="1"/>
          <w:numId w:val="9"/>
        </w:numPr>
        <w:spacing w:before="100" w:beforeAutospacing="1" w:after="100" w:afterAutospacing="1"/>
        <w:divId w:val="2118482582"/>
        <w:rPr>
          <w:rFonts w:eastAsia="Times New Roman"/>
        </w:rPr>
      </w:pPr>
      <w:r>
        <w:rPr>
          <w:rFonts w:eastAsia="Times New Roman"/>
        </w:rPr>
        <w:t xml:space="preserve">podporovať rozvoj kľúčových kompetencií s osobitným dôrazom na: </w:t>
      </w:r>
    </w:p>
    <w:p w:rsidR="00000000" w:rsidRDefault="00501E77">
      <w:pPr>
        <w:numPr>
          <w:ilvl w:val="2"/>
          <w:numId w:val="9"/>
        </w:numPr>
        <w:spacing w:before="100" w:beforeAutospacing="1" w:after="100" w:afterAutospacing="1"/>
        <w:divId w:val="2118482582"/>
        <w:rPr>
          <w:rFonts w:eastAsia="Times New Roman"/>
        </w:rPr>
      </w:pPr>
      <w:r>
        <w:rPr>
          <w:rFonts w:eastAsia="Times New Roman"/>
        </w:rPr>
        <w:t>zvyšovanie úrovne základných zručností (gramotnosti, matematickej gramotnosti a základných digitálnych zručností) a podpora rozvíjania schopnos</w:t>
      </w:r>
      <w:r>
        <w:rPr>
          <w:rFonts w:eastAsia="Times New Roman"/>
        </w:rPr>
        <w:t>ti učiť sa ako neustále sa zlepšujúceho základu pre učenie a účasť v spoločnosti z hľadiska celoživotného vzdelávania;</w:t>
      </w:r>
    </w:p>
    <w:p w:rsidR="00000000" w:rsidRDefault="00501E77">
      <w:pPr>
        <w:numPr>
          <w:ilvl w:val="2"/>
          <w:numId w:val="9"/>
        </w:numPr>
        <w:spacing w:before="100" w:beforeAutospacing="1" w:after="100" w:afterAutospacing="1"/>
        <w:divId w:val="2118482582"/>
        <w:rPr>
          <w:rFonts w:eastAsia="Times New Roman"/>
        </w:rPr>
      </w:pPr>
      <w:r>
        <w:rPr>
          <w:rFonts w:eastAsia="Times New Roman"/>
        </w:rPr>
        <w:t>zvyšovanie individuálnej a sociálnej kompetencie a schopnosti učiť sa s cieľom zlepšiť riadenie života so zodpovedným prístupom ku zdravi</w:t>
      </w:r>
      <w:r>
        <w:rPr>
          <w:rFonts w:eastAsia="Times New Roman"/>
        </w:rPr>
        <w:t>u a zameraním na budúcnosť;</w:t>
      </w:r>
    </w:p>
    <w:p w:rsidR="00000000" w:rsidRDefault="00501E77">
      <w:pPr>
        <w:numPr>
          <w:ilvl w:val="2"/>
          <w:numId w:val="9"/>
        </w:numPr>
        <w:spacing w:before="100" w:beforeAutospacing="1" w:after="100" w:afterAutospacing="1"/>
        <w:divId w:val="2118482582"/>
        <w:rPr>
          <w:rFonts w:eastAsia="Times New Roman"/>
        </w:rPr>
      </w:pPr>
      <w:r>
        <w:rPr>
          <w:rFonts w:eastAsia="Times New Roman"/>
        </w:rPr>
        <w:t>zvyšovanie a zdokonaľovanie úrovne digitálnych kompetencií na všetkých stupňoch vzdelávania a odbornej príp</w:t>
      </w:r>
      <w:r>
        <w:rPr>
          <w:rFonts w:eastAsia="Times New Roman"/>
        </w:rPr>
        <w:softHyphen/>
        <w:t>ravy vo všetkých skupinách obyvateľstva;</w:t>
      </w:r>
    </w:p>
    <w:p w:rsidR="00000000" w:rsidRDefault="00501E77">
      <w:pPr>
        <w:numPr>
          <w:ilvl w:val="1"/>
          <w:numId w:val="9"/>
        </w:numPr>
        <w:spacing w:before="100" w:beforeAutospacing="1" w:after="100" w:afterAutospacing="1"/>
        <w:divId w:val="2118482582"/>
        <w:rPr>
          <w:rFonts w:eastAsia="Times New Roman"/>
        </w:rPr>
      </w:pPr>
      <w:r>
        <w:rPr>
          <w:rFonts w:eastAsia="Times New Roman"/>
        </w:rPr>
        <w:t>uľahčiť nadobúdanie kľúčových kompetencií vďaka využitiu osvedčených postupov n</w:t>
      </w:r>
      <w:r>
        <w:rPr>
          <w:rFonts w:eastAsia="Times New Roman"/>
        </w:rPr>
        <w:t xml:space="preserve">a podporu rozvoja kľúčových kompetencií, okrem iného aj: </w:t>
      </w:r>
    </w:p>
    <w:p w:rsidR="00000000" w:rsidRDefault="00501E77">
      <w:pPr>
        <w:numPr>
          <w:ilvl w:val="2"/>
          <w:numId w:val="9"/>
        </w:numPr>
        <w:spacing w:before="100" w:beforeAutospacing="1" w:after="100" w:afterAutospacing="1"/>
        <w:divId w:val="2118482582"/>
        <w:rPr>
          <w:rFonts w:eastAsia="Times New Roman"/>
        </w:rPr>
      </w:pPr>
      <w:r>
        <w:rPr>
          <w:rFonts w:eastAsia="Times New Roman"/>
        </w:rPr>
        <w:t>podporou rôznych vzdelávacích prístupov a prostredia vrátane primeraného využívania digitálnych technológií v prostrediach vzdelávania, odbornej prípravy a učenia sa</w:t>
      </w:r>
    </w:p>
    <w:p w:rsidR="00000000" w:rsidRDefault="00501E77">
      <w:pPr>
        <w:numPr>
          <w:ilvl w:val="1"/>
          <w:numId w:val="9"/>
        </w:numPr>
        <w:spacing w:before="100" w:beforeAutospacing="1" w:after="100" w:afterAutospacing="1"/>
        <w:divId w:val="2118482582"/>
        <w:rPr>
          <w:rFonts w:eastAsia="Times New Roman"/>
        </w:rPr>
      </w:pPr>
      <w:r>
        <w:rPr>
          <w:rFonts w:eastAsia="Times New Roman"/>
        </w:rPr>
        <w:t>podporou a ďalším rozvojom posud</w:t>
      </w:r>
      <w:r>
        <w:rPr>
          <w:rFonts w:eastAsia="Times New Roman"/>
        </w:rPr>
        <w:t>zovania a potvrdzovania kľúčových kompetencií získaných v rôznych prostrediach v súlade s pravidlami a postupmi členských štátov</w:t>
      </w:r>
    </w:p>
    <w:p w:rsidR="00000000" w:rsidRDefault="00501E77">
      <w:pPr>
        <w:pStyle w:val="Normlnywebov"/>
        <w:ind w:left="450"/>
        <w:divId w:val="2118482582"/>
      </w:pPr>
      <w:r>
        <w:t>Odporúčanie vychádza:</w:t>
      </w:r>
    </w:p>
    <w:p w:rsidR="00000000" w:rsidRDefault="00501E77">
      <w:pPr>
        <w:numPr>
          <w:ilvl w:val="0"/>
          <w:numId w:val="10"/>
        </w:numPr>
        <w:spacing w:before="100" w:beforeAutospacing="1" w:after="100" w:afterAutospacing="1"/>
        <w:ind w:left="1440"/>
        <w:divId w:val="2118482582"/>
        <w:rPr>
          <w:rFonts w:eastAsia="Times New Roman"/>
        </w:rPr>
      </w:pPr>
    </w:p>
    <w:p w:rsidR="00000000" w:rsidRDefault="00501E77">
      <w:pPr>
        <w:numPr>
          <w:ilvl w:val="1"/>
          <w:numId w:val="10"/>
        </w:numPr>
        <w:spacing w:before="100" w:beforeAutospacing="1" w:after="100" w:afterAutospacing="1"/>
        <w:divId w:val="2118482582"/>
        <w:rPr>
          <w:rFonts w:eastAsia="Times New Roman"/>
        </w:rPr>
      </w:pPr>
      <w:r>
        <w:rPr>
          <w:rFonts w:eastAsia="Times New Roman"/>
        </w:rPr>
        <w:t>z dlho očakávaných opatrení na podporu práce, sociálnych vecí a inklúzie prostredníctvom </w:t>
      </w:r>
      <w:hyperlink r:id="rId12" w:history="1">
        <w:r>
          <w:rPr>
            <w:rStyle w:val="Hypertextovprepojenie"/>
            <w:rFonts w:eastAsia="Times New Roman"/>
          </w:rPr>
          <w:t>novej stratégie pre rozvoj kľúčových kompetencií</w:t>
        </w:r>
      </w:hyperlink>
      <w:r>
        <w:rPr>
          <w:rFonts w:eastAsia="Times New Roman"/>
          <w:vertAlign w:val="superscript"/>
        </w:rPr>
        <w:t> </w:t>
      </w:r>
      <w:hyperlink r:id="rId13" w:history="1">
        <w:r>
          <w:rPr>
            <w:rStyle w:val="Hypertextovprepojenie"/>
            <w:rFonts w:eastAsia="Times New Roman"/>
            <w:vertAlign w:val="superscript"/>
          </w:rPr>
          <w:t>[7]</w:t>
        </w:r>
      </w:hyperlink>
      <w:r>
        <w:rPr>
          <w:rFonts w:eastAsia="Times New Roman"/>
        </w:rPr>
        <w:t> v Európe </w:t>
      </w:r>
    </w:p>
    <w:p w:rsidR="00000000" w:rsidRDefault="00501E77">
      <w:pPr>
        <w:numPr>
          <w:ilvl w:val="1"/>
          <w:numId w:val="10"/>
        </w:numPr>
        <w:spacing w:before="100" w:beforeAutospacing="1" w:after="100" w:afterAutospacing="1"/>
        <w:divId w:val="2118482582"/>
        <w:rPr>
          <w:rFonts w:eastAsia="Times New Roman"/>
        </w:rPr>
      </w:pPr>
      <w:r>
        <w:rPr>
          <w:rFonts w:eastAsia="Times New Roman"/>
        </w:rPr>
        <w:t>nová stratégia navrhuje 10 opatrení, z ktorých tento projekt ponúka riešenie pre </w:t>
      </w:r>
      <w:r>
        <w:rPr>
          <w:rFonts w:eastAsia="Times New Roman"/>
        </w:rPr>
        <w:t>1., 2., 3., 4. a 7.  :</w:t>
      </w:r>
    </w:p>
    <w:p w:rsidR="00000000" w:rsidRDefault="00501E77">
      <w:pPr>
        <w:pStyle w:val="Normlnywebov"/>
        <w:ind w:left="1350"/>
        <w:divId w:val="2118482582"/>
      </w:pPr>
      <w:r>
        <w:t>1 Získavanie nových zručností – nové príležitosti pre dospelých</w:t>
      </w:r>
    </w:p>
    <w:p w:rsidR="00000000" w:rsidRDefault="00501E77">
      <w:pPr>
        <w:pStyle w:val="Normlnywebov"/>
        <w:ind w:left="1350"/>
        <w:divId w:val="2118482582"/>
      </w:pPr>
      <w:r>
        <w:t>2 Európsky kvalifikačný rámec</w:t>
      </w:r>
    </w:p>
    <w:p w:rsidR="00000000" w:rsidRDefault="00501E77">
      <w:pPr>
        <w:pStyle w:val="Normlnywebov"/>
        <w:ind w:left="1350"/>
        <w:divId w:val="2118482582"/>
      </w:pPr>
      <w:r>
        <w:t>3 Kódex digitálnych zručností a pracovných miest</w:t>
      </w:r>
    </w:p>
    <w:p w:rsidR="00000000" w:rsidRDefault="00501E77">
      <w:pPr>
        <w:pStyle w:val="Normlnywebov"/>
        <w:ind w:left="1350"/>
        <w:divId w:val="2118482582"/>
      </w:pPr>
      <w:r>
        <w:t>4 Schéma pre sektorovú spoluprácu v oblasti zručností</w:t>
      </w:r>
    </w:p>
    <w:p w:rsidR="00000000" w:rsidRDefault="00501E77">
      <w:pPr>
        <w:pStyle w:val="Normlnywebov"/>
        <w:ind w:left="1350"/>
        <w:divId w:val="2118482582"/>
      </w:pPr>
      <w:r>
        <w:t>7 Kľúčové kompetencie</w:t>
      </w:r>
    </w:p>
    <w:p w:rsidR="00000000" w:rsidRDefault="00501E77">
      <w:pPr>
        <w:pStyle w:val="Normlnywebov"/>
        <w:ind w:left="450"/>
        <w:divId w:val="2118482582"/>
      </w:pPr>
      <w:r>
        <w:t>Rada EÚ opatrenia prijala a členské štáty majú podnikať kroky na ich implementáciu.  Súvisiace dokumenty sú uvedené na </w:t>
      </w:r>
      <w:hyperlink r:id="rId14" w:history="1">
        <w:r>
          <w:rPr>
            <w:rStyle w:val="Hypertextovprepojenie"/>
          </w:rPr>
          <w:t>http://ec.europa.eu/social/main.jsp?catId=1223</w:t>
        </w:r>
        <w:r>
          <w:rPr>
            <w:rStyle w:val="Hypertextovprepojenie"/>
          </w:rPr>
          <w:t>&amp;langId=en&amp;moreDocuments=yes</w:t>
        </w:r>
      </w:hyperlink>
    </w:p>
    <w:p w:rsidR="00000000" w:rsidRDefault="00501E77">
      <w:pPr>
        <w:pStyle w:val="Normlnywebov"/>
        <w:ind w:left="450"/>
        <w:divId w:val="2118482582"/>
      </w:pPr>
      <w:r>
        <w:rPr>
          <w:rStyle w:val="Siln"/>
        </w:rPr>
        <w:t>E)  </w:t>
      </w:r>
      <w:r>
        <w:t>Naplnia sa tým aj odporúčania Európskej rady</w:t>
      </w:r>
      <w:r>
        <w:rPr>
          <w:strike/>
        </w:rPr>
        <w:t> </w:t>
      </w:r>
      <w:r>
        <w:t>v oblasti vzdelávania mládeže, kultúry a športu, najmä:</w:t>
      </w:r>
    </w:p>
    <w:p w:rsidR="00000000" w:rsidRDefault="00501E77">
      <w:pPr>
        <w:numPr>
          <w:ilvl w:val="0"/>
          <w:numId w:val="11"/>
        </w:numPr>
        <w:spacing w:before="100" w:beforeAutospacing="1" w:after="100" w:afterAutospacing="1"/>
        <w:ind w:left="1440"/>
        <w:divId w:val="2118482582"/>
        <w:rPr>
          <w:rFonts w:eastAsia="Times New Roman"/>
        </w:rPr>
      </w:pPr>
    </w:p>
    <w:p w:rsidR="00000000" w:rsidRDefault="00501E77">
      <w:pPr>
        <w:numPr>
          <w:ilvl w:val="1"/>
          <w:numId w:val="11"/>
        </w:numPr>
        <w:spacing w:before="100" w:beforeAutospacing="1" w:after="100" w:afterAutospacing="1"/>
        <w:divId w:val="2118482582"/>
        <w:rPr>
          <w:rFonts w:eastAsia="Times New Roman"/>
        </w:rPr>
      </w:pPr>
      <w:r>
        <w:rPr>
          <w:rFonts w:eastAsia="Times New Roman"/>
        </w:rPr>
        <w:t>„Investovať do mládeže v Európe“ (č. 5860/17) – rozvíjať kompetencie mladých pre inkluzívnu a demokratickú spoločnosť</w:t>
      </w:r>
    </w:p>
    <w:p w:rsidR="00000000" w:rsidRDefault="00501E77">
      <w:pPr>
        <w:numPr>
          <w:ilvl w:val="1"/>
          <w:numId w:val="11"/>
        </w:numPr>
        <w:spacing w:before="100" w:beforeAutospacing="1" w:after="100" w:afterAutospacing="1"/>
        <w:divId w:val="2118482582"/>
        <w:rPr>
          <w:rFonts w:eastAsia="Times New Roman"/>
        </w:rPr>
      </w:pPr>
      <w:r>
        <w:rPr>
          <w:rFonts w:eastAsia="Times New Roman"/>
        </w:rPr>
        <w:t>ini</w:t>
      </w:r>
      <w:r>
        <w:rPr>
          <w:rFonts w:eastAsia="Times New Roman"/>
        </w:rPr>
        <w:t>ciatívou European Solidarity Corps, (15421/16) – zvýšiť kompetencie mladých a tým zvýšiť perspektívy ich zamestnania sa v rýchlo meniacej sa ekonomike, zvýšiť možnosti ich mobility pre účely rozvoja ich kompetencií – prepojenie na Erasmus, zvýšením kompete</w:t>
      </w:r>
      <w:r>
        <w:rPr>
          <w:rFonts w:eastAsia="Times New Roman"/>
        </w:rPr>
        <w:t>ncií môžeme očakávať efektívnejšie využitie Erasmus plus cieľovou skupinou)</w:t>
      </w:r>
    </w:p>
    <w:p w:rsidR="00000000" w:rsidRDefault="00501E77">
      <w:pPr>
        <w:numPr>
          <w:ilvl w:val="1"/>
          <w:numId w:val="11"/>
        </w:numPr>
        <w:spacing w:before="100" w:beforeAutospacing="1" w:after="100" w:afterAutospacing="1"/>
        <w:divId w:val="2118482582"/>
        <w:rPr>
          <w:rFonts w:eastAsia="Times New Roman"/>
        </w:rPr>
      </w:pPr>
      <w:r>
        <w:rPr>
          <w:rFonts w:eastAsia="Times New Roman"/>
        </w:rPr>
        <w:t>Návrh záverov Rady a zástupcov vlád členských štátov zasadajúcich v Rade o začleňovaní v rozmanitosti s cieľom dosiahnuť vysokú kvalitu vzdelávania pre všetkých – odporúčanie „Vyso</w:t>
      </w:r>
      <w:r>
        <w:rPr>
          <w:rFonts w:eastAsia="Times New Roman"/>
        </w:rPr>
        <w:t>ká kvalita vzdelávania pre všetkých (5741/17) – odporúčanie zabezpečiť kvalitu vzdelávania po ukončení formálneho vzdelávania, najmä zvyšovanie digitálnych kompetencií, kompetencií podporujúcich inovácie a zamestnateľnosť</w:t>
      </w:r>
    </w:p>
    <w:p w:rsidR="00000000" w:rsidRDefault="00501E77">
      <w:pPr>
        <w:numPr>
          <w:ilvl w:val="1"/>
          <w:numId w:val="11"/>
        </w:numPr>
        <w:spacing w:before="100" w:beforeAutospacing="1" w:after="100" w:afterAutospacing="1"/>
        <w:divId w:val="2118482582"/>
        <w:rPr>
          <w:rFonts w:eastAsia="Times New Roman"/>
        </w:rPr>
      </w:pPr>
      <w:r>
        <w:rPr>
          <w:rFonts w:eastAsia="Times New Roman"/>
        </w:rPr>
        <w:t>v rámci „Európskeho semestra 2017“</w:t>
      </w:r>
      <w:r>
        <w:rPr>
          <w:rFonts w:eastAsia="Times New Roman"/>
        </w:rPr>
        <w:t xml:space="preserve"> – zabezpečiť rozvoj tých kompetencií, ktoré podporia mediálnu výchovu aj v neformálnom vzdelávaní</w:t>
      </w:r>
    </w:p>
    <w:p w:rsidR="00000000" w:rsidRDefault="00501E77">
      <w:pPr>
        <w:pStyle w:val="Normlnywebov"/>
        <w:numPr>
          <w:ilvl w:val="1"/>
          <w:numId w:val="11"/>
        </w:numPr>
        <w:divId w:val="2118482582"/>
      </w:pPr>
      <w:r>
        <w:t>v rámci „Zlepšiť a modernizovať vzdelávanie“ (15418/16) – zabezpečiť jednoduchšie uznávanie certifikácií (aby bolo možné zlepšovať zamestnateľnosť na európsk</w:t>
      </w:r>
      <w:r>
        <w:t>om trhu práce), zabezpečiť inováciu v oblasti kľúčových kompetencií a podporovať členské štáty v jej uplatňovaní a prijať opatrenia pre modernizáciu rozvoja digitálnych kompetencií najmä v oblasti neformálneho a informálneho vzdelávani</w:t>
      </w:r>
    </w:p>
    <w:p w:rsidR="00000000" w:rsidRDefault="00501E77">
      <w:pPr>
        <w:pStyle w:val="Normlnywebov"/>
        <w:ind w:left="450"/>
        <w:divId w:val="2118482582"/>
      </w:pPr>
      <w:r>
        <w:rPr>
          <w:rStyle w:val="Siln"/>
        </w:rPr>
        <w:t> </w:t>
      </w:r>
    </w:p>
    <w:p w:rsidR="00000000" w:rsidRDefault="00501E77">
      <w:pPr>
        <w:pStyle w:val="Normlnywebov"/>
      </w:pPr>
      <w:r>
        <w:rPr>
          <w:rStyle w:val="Siln"/>
        </w:rPr>
        <w:t xml:space="preserve">Predložená štúdia </w:t>
      </w:r>
      <w:r>
        <w:rPr>
          <w:rStyle w:val="Siln"/>
        </w:rPr>
        <w:t>popisuje riešenie, ktoré na národnej úrovni zohľadňuje:</w:t>
      </w:r>
    </w:p>
    <w:p w:rsidR="00000000" w:rsidRDefault="00501E77">
      <w:pPr>
        <w:pStyle w:val="Normlnywebov"/>
        <w:ind w:left="450"/>
      </w:pPr>
      <w:r>
        <w:t>A) relevantné princípy NKIVS a strategické priority najmä v nasledujúcich oblastiach:</w:t>
      </w:r>
    </w:p>
    <w:p w:rsidR="00000000" w:rsidRDefault="00501E77">
      <w:pPr>
        <w:numPr>
          <w:ilvl w:val="0"/>
          <w:numId w:val="12"/>
        </w:numPr>
        <w:spacing w:before="100" w:beforeAutospacing="1" w:after="100" w:afterAutospacing="1"/>
        <w:ind w:left="1440"/>
        <w:rPr>
          <w:rFonts w:eastAsia="Times New Roman"/>
        </w:rPr>
      </w:pPr>
    </w:p>
    <w:p w:rsidR="00000000" w:rsidRDefault="00501E77">
      <w:pPr>
        <w:numPr>
          <w:ilvl w:val="1"/>
          <w:numId w:val="12"/>
        </w:numPr>
        <w:spacing w:before="100" w:beforeAutospacing="1" w:after="100" w:afterAutospacing="1"/>
        <w:rPr>
          <w:rFonts w:eastAsia="Times New Roman"/>
        </w:rPr>
      </w:pPr>
      <w:r>
        <w:rPr>
          <w:rFonts w:eastAsia="Times New Roman"/>
        </w:rPr>
        <w:t xml:space="preserve">využívanie údajov v rozhodovaní, pričom rozhodovacie procesy vo verejnej správe majú byť podporené informáciami, </w:t>
      </w:r>
      <w:r>
        <w:rPr>
          <w:rFonts w:eastAsia="Times New Roman"/>
        </w:rPr>
        <w:t>získanými automatizovanou analýzou údajov zo systémov DEI pri zachovaní všetkých požiadaviek Nariadenia Európskeho parlamentu a rady (EÚ) 2016/679 z 27. apríla 2016 o  ochrane fyzických osôb pri  spracúvaní osobných údajov  a  o voľnom pohybe takýchto údaj</w:t>
      </w:r>
      <w:r>
        <w:rPr>
          <w:rFonts w:eastAsia="Times New Roman"/>
        </w:rPr>
        <w:t>ov (GDPR),</w:t>
      </w:r>
    </w:p>
    <w:p w:rsidR="00000000" w:rsidRDefault="00501E77">
      <w:pPr>
        <w:numPr>
          <w:ilvl w:val="1"/>
          <w:numId w:val="12"/>
        </w:numPr>
        <w:spacing w:before="100" w:beforeAutospacing="1" w:after="100" w:afterAutospacing="1"/>
        <w:rPr>
          <w:rFonts w:eastAsia="Times New Roman"/>
        </w:rPr>
      </w:pPr>
      <w:r>
        <w:rPr>
          <w:rFonts w:eastAsia="Times New Roman"/>
        </w:rPr>
        <w:t>budovanie centrálnych spoločných blokov v zmysle NKIVS a príslušných strategických dokumentov</w:t>
      </w:r>
    </w:p>
    <w:p w:rsidR="00000000" w:rsidRDefault="00501E77">
      <w:pPr>
        <w:pStyle w:val="Normlnywebov"/>
        <w:ind w:left="450"/>
      </w:pPr>
      <w:r>
        <w:t xml:space="preserve">B) uplatniteľnosť princípov uvádzaných v strategických dokumentoch informatizácie a preto pri hodnotení obsahu štúdie a samotného riešenia je potrebné </w:t>
      </w:r>
      <w:r>
        <w:t>prihliadať na niekoľko základných špecifík DEI:</w:t>
      </w:r>
    </w:p>
    <w:p w:rsidR="00000000" w:rsidRDefault="00501E77">
      <w:pPr>
        <w:numPr>
          <w:ilvl w:val="0"/>
          <w:numId w:val="13"/>
        </w:numPr>
        <w:spacing w:before="100" w:beforeAutospacing="1" w:after="100" w:afterAutospacing="1"/>
        <w:ind w:left="1440"/>
        <w:rPr>
          <w:rFonts w:eastAsia="Times New Roman"/>
        </w:rPr>
      </w:pPr>
    </w:p>
    <w:p w:rsidR="00000000" w:rsidRDefault="00501E77">
      <w:pPr>
        <w:numPr>
          <w:ilvl w:val="1"/>
          <w:numId w:val="13"/>
        </w:numPr>
        <w:spacing w:before="100" w:beforeAutospacing="1" w:after="100" w:afterAutospacing="1"/>
        <w:rPr>
          <w:rFonts w:eastAsia="Times New Roman"/>
        </w:rPr>
      </w:pPr>
      <w:r>
        <w:rPr>
          <w:rStyle w:val="inline-comment-marker"/>
          <w:rFonts w:eastAsia="Times New Roman"/>
        </w:rPr>
        <w:t>DEI je informačný systém primárne orientovaný na systémy pre inklúzi</w:t>
      </w:r>
      <w:r>
        <w:rPr>
          <w:rStyle w:val="inline-comment-marker"/>
          <w:rFonts w:eastAsia="Times New Roman"/>
        </w:rPr>
        <w:t>u</w:t>
      </w:r>
      <w:r>
        <w:rPr>
          <w:rFonts w:eastAsia="Times New Roman"/>
        </w:rPr>
        <w:t>,</w:t>
      </w:r>
    </w:p>
    <w:p w:rsidR="00000000" w:rsidRDefault="00501E77">
      <w:pPr>
        <w:numPr>
          <w:ilvl w:val="1"/>
          <w:numId w:val="13"/>
        </w:numPr>
        <w:spacing w:before="100" w:beforeAutospacing="1" w:after="100" w:afterAutospacing="1"/>
        <w:rPr>
          <w:rFonts w:eastAsia="Times New Roman"/>
        </w:rPr>
      </w:pPr>
      <w:r>
        <w:rPr>
          <w:rFonts w:eastAsia="Times New Roman"/>
        </w:rPr>
        <w:t>Konfigurácia certifikačných testov je zdrojovo nákladný, dlhodobý a trvalý proces, ovplyvňovaný dynamicky sa meniacim prostredím IT a </w:t>
      </w:r>
      <w:r>
        <w:rPr>
          <w:rFonts w:eastAsia="Times New Roman"/>
        </w:rPr>
        <w:t>reagujúcim na situáciu na trhu práce v SR a EÚ.</w:t>
      </w:r>
    </w:p>
    <w:p w:rsidR="00000000" w:rsidRDefault="00501E77">
      <w:pPr>
        <w:pStyle w:val="Normlnywebov"/>
        <w:ind w:left="450"/>
      </w:pPr>
      <w:r>
        <w:t>C) a prispieva k naplneniu cieľov Operačného programu Integrovaná infraštruktúra / Prioritná os 7 (Informačná spoločnosť), konkrétne špecifického cieľa  7.4 „Zvýšenie kvality, štandardu a dostupnosti eGovernm</w:t>
      </w:r>
      <w:r>
        <w:t>ent služieb pre občanov“, ktorého hlavným zámerom je zvýšenie celkového využívania eGovernment služieb občanmi a zvýšenie ich spokojnosti s eGovernment službami a špecifického cieľa  7.6 „Zlepšenie digitálnych zručností a inklúzie znevýhodnených jednotlivc</w:t>
      </w:r>
      <w:r>
        <w:t>ov do  digitálneho trhu“, ktorého hlavným zámerom je zvýšiť percento znevýhodnených jednotlivcov </w:t>
      </w:r>
      <w:r>
        <w:rPr>
          <w:color w:val="3572B0"/>
          <w:vertAlign w:val="superscript"/>
        </w:rPr>
        <w:t>[8]</w:t>
      </w:r>
      <w:r>
        <w:t xml:space="preserve"> používajúcich internet a</w:t>
      </w:r>
      <w:r>
        <w:t xml:space="preserve"> </w:t>
      </w:r>
      <w:r>
        <w:rPr>
          <w:rStyle w:val="inline-comment-marker"/>
        </w:rPr>
        <w:t>zvýšiť percento jednotlivcov so strednou úrovňou digitálnych kompetencií</w:t>
      </w:r>
      <w:r>
        <w:rPr>
          <w:rStyle w:val="inline-comment-marker"/>
        </w:rPr>
        <w:t>.</w:t>
      </w:r>
    </w:p>
    <w:p w:rsidR="00000000" w:rsidRDefault="00501E77">
      <w:pPr>
        <w:pStyle w:val="Normlnywebov"/>
      </w:pPr>
      <w:r>
        <w:rPr>
          <w:rStyle w:val="Siln"/>
        </w:rPr>
        <w:t>Kvantifikácia cieľovej skupiny:</w:t>
      </w:r>
    </w:p>
    <w:p w:rsidR="00000000" w:rsidRDefault="00501E77">
      <w:pPr>
        <w:pStyle w:val="Normlnywebov"/>
        <w:ind w:left="450"/>
      </w:pPr>
      <w:r>
        <w:t>Cieľovou skupinou tohto projektu sú všetci občania SR starší ako 15 rokov, ktorých počet bol podľa údajov Štatistického úradu SR k 31.12.2017 – 4 593 419,00 obyvateľov. Špecifickou cieľovou skupinou, na ktorú sa chce projekt zamerať sú znevýhodnené skupiny</w:t>
      </w:r>
      <w:r>
        <w:t xml:space="preserve"> obyvateľstva. Podľa štatistických údajov Výskumného demografického centra Infostat</w:t>
      </w:r>
      <w:hyperlink r:id="rId15" w:history="1">
        <w:r>
          <w:rPr>
            <w:rStyle w:val="Hypertextovprepojenie"/>
            <w:vertAlign w:val="superscript"/>
          </w:rPr>
          <w:t>[9]</w:t>
        </w:r>
      </w:hyperlink>
      <w:r>
        <w:t xml:space="preserve"> z roku 2016 bol počet znevýhodnených osôb v kategórii 18-74 rokov s niž</w:t>
      </w:r>
      <w:r>
        <w:t>ším vzdelaním 1.679 890 a k tomu v kategórií 55 - 74 so stredným a vyšším vzdelaním 586 049 osôb, spolu sa jedná o približne 2,3 mil osôb. Vzhľadom na kapacitné možnosti iniciálnych certifikačných partnerov do výpočtu CBA vstupuje len zlomok celkovej cieľo</w:t>
      </w:r>
      <w:r>
        <w:t>vej skupiny, ekonomická analýza však obsahuje prahové hodnoty, ktoré je možné dosiahnuť na základe prepočtov využívajúcich dostupné údaje Eurostatu. Prepočty týchto prahových hodnôt preukazujú, že dosiahnutie plánovaných hodnôt vydaných certifikátov a real</w:t>
      </w:r>
      <w:r>
        <w:t>izovaných self-testov je realistické.</w:t>
      </w:r>
    </w:p>
    <w:p w:rsidR="00000000" w:rsidRDefault="00501E77">
      <w:pPr>
        <w:pStyle w:val="Normlnywebov"/>
        <w:ind w:left="450"/>
      </w:pPr>
      <w:r>
        <w:rPr>
          <w:rStyle w:val="Siln"/>
        </w:rPr>
        <w:t xml:space="preserve">Prínos projektu k splneniu cieľov strategického dokumentu pre oblasť rastu digitálnych služieb a oblasť infraštruktúry prístupovej siete novej generácie a špecifických cieľov 7.4 a  7.6 operačného programu Integrovaná </w:t>
      </w:r>
      <w:r>
        <w:rPr>
          <w:rStyle w:val="Siln"/>
        </w:rPr>
        <w:t>infraštruktúra..</w:t>
      </w:r>
    </w:p>
    <w:p w:rsidR="00000000" w:rsidRDefault="00501E77">
      <w:pPr>
        <w:pStyle w:val="Normlnywebov"/>
      </w:pPr>
      <w:r>
        <w:rPr>
          <w:rStyle w:val="Siln"/>
        </w:rPr>
        <w:t>Projekt ako súčasť komplexného programu</w:t>
      </w:r>
    </w:p>
    <w:p w:rsidR="00000000" w:rsidRDefault="00501E77">
      <w:pPr>
        <w:pStyle w:val="Normlnywebov"/>
        <w:ind w:left="450"/>
      </w:pPr>
      <w:r>
        <w:t>Pri definovaní prínosu projektu k celkovým cieľom, ktoré budú dosiahnuté vďaka investíciám z operačného programu Integrovaná infraštruktúra je potrebné zdôrazniť, že projekt samotný je súčasťou kompl</w:t>
      </w:r>
      <w:r>
        <w:t>exného programu majúceho za cieľ vytvorenie zjednoteného systému hodnotenia kompetencií a vďaka tomu umožniť integráciu znevýhodnených skupín v rámci digitálneho trhu, zmiernenie dopadov automatizácie a rozvoja umelej inteligencie na pracovný trh a zohľadn</w:t>
      </w:r>
      <w:r>
        <w:t>enie potrieb zamestnávateľov pre kompetencie zamestnancov, ktorí si ich budú ďalej rozširovať, overovať a upevňovať.</w:t>
      </w:r>
    </w:p>
    <w:p w:rsidR="00000000" w:rsidRDefault="00501E77">
      <w:pPr>
        <w:pStyle w:val="Normlnywebov"/>
        <w:ind w:left="450"/>
      </w:pPr>
      <w:r>
        <w:t>Preto aj prínosy projektu k cieľom OP II a ďalších strategických dokumentov je potrebné vnímať v kontexte 3 navzájom prepojených projektov/</w:t>
      </w:r>
      <w:r>
        <w:t>aktivít, z ktorých 2 nie sú oprávnené na realizáciu z OP II a budú, resp. už sú realizované v rámci iných dotačných schém. Uvedené predpokladá aj samotný Strategický dokument pre oblasť rastu digitálnych služieb a oblasť infraštruktúry prístupovej siete no</w:t>
      </w:r>
      <w:r>
        <w:t>vej generácie, ktorý definuje jednotný systém hodnotenia kompetencií za jednu zo svojich prioritných oblastí a z hľadiska zapojenia znevýhodnených skupín uvádza, že predpokladom zapojenia znevýhodnenej populácie prostredníctvom eInklúzie je aj vzdelanie ob</w:t>
      </w:r>
      <w:r>
        <w:t>čanov v zručnostiach používania nových technológií, pričom ďalej uvádza, že napriek všetkým doterajším snahám pretrvávajú na Slovensku skupiny, ktoré nemôžu využívať výhody informačnej spoločnosti. Dôvodom je, že znevýhodnení občania okrem iného nie sú dos</w:t>
      </w:r>
      <w:r>
        <w:t>tatočne vzdelaní a kompetentní používať nové technológie. Rovnako tak rozvoj digitálnych zručností, zjednodušeného prístupu k internetu a k informáciám a službám VS ako aj rozvoj participácie na digitálnom trhu pre znevýhodnené skupiny definovaný operačným</w:t>
      </w:r>
      <w:r>
        <w:t xml:space="preserve"> programom Integrovaná infraštruktúra nie je možné zabezpečiť výlučne prostriedkami OP II, keďže samotná príprava na certifikáciu alebo tvorba metodík nie sú oprávnenými aktivitami v rámci OP II a dosiahnutie tohto cieľa je možné len v synergii dvoch progr</w:t>
      </w:r>
      <w:r>
        <w:t>amov. Preto s ohľadom na nastavenie oprávnenosti výdavkov pre ESF a EFRR je pre dosiahnutie cieľov oboch programov potrebné synergicky realizovať 2 projekty, tak aby synergiou prispeli k plneniu ukazovateľov oboch</w:t>
      </w:r>
      <w:r>
        <w:t xml:space="preserve"> </w:t>
      </w:r>
      <w:r>
        <w:rPr>
          <w:rStyle w:val="inline-comment-marker"/>
        </w:rPr>
        <w:t>programov</w:t>
      </w:r>
      <w:r>
        <w:rPr>
          <w:rStyle w:val="inline-comment-marker"/>
        </w:rPr>
        <w:t>.</w:t>
      </w:r>
      <w:r>
        <w:t> </w:t>
      </w:r>
    </w:p>
    <w:p w:rsidR="00000000" w:rsidRDefault="00501E77">
      <w:pPr>
        <w:pStyle w:val="Normlnywebov"/>
      </w:pPr>
      <w:r>
        <w:rPr>
          <w:noProof/>
        </w:rPr>
        <w:drawing>
          <wp:inline distT="0" distB="0" distL="0" distR="0">
            <wp:extent cx="4457700" cy="2295525"/>
            <wp:effectExtent l="0" t="0" r="0" b="9525"/>
            <wp:docPr id="1" name="Obrázok 1" descr="C:\c2c8f1b384e2680ff2a781ca663bf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2c8f1b384e2680ff2a781ca663bfb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2295525"/>
                    </a:xfrm>
                    <a:prstGeom prst="rect">
                      <a:avLst/>
                    </a:prstGeom>
                    <a:noFill/>
                    <a:ln>
                      <a:noFill/>
                    </a:ln>
                  </pic:spPr>
                </pic:pic>
              </a:graphicData>
            </a:graphic>
          </wp:inline>
        </w:drawing>
      </w:r>
    </w:p>
    <w:p w:rsidR="00000000" w:rsidRDefault="00501E77">
      <w:pPr>
        <w:pStyle w:val="Normlnywebov"/>
        <w:ind w:left="450"/>
      </w:pPr>
      <w:r>
        <w:t>Obrázok 0 Vzájomné prepojenie a synergie projektov</w:t>
      </w:r>
    </w:p>
    <w:p w:rsidR="00000000" w:rsidRDefault="00501E77">
      <w:pPr>
        <w:pStyle w:val="Normlnywebov"/>
      </w:pPr>
      <w:r>
        <w:rPr>
          <w:rStyle w:val="Siln"/>
        </w:rPr>
        <w:t>Prínos k plánovaným výsledkom OP II</w:t>
      </w:r>
      <w:r>
        <w:t> </w:t>
      </w:r>
    </w:p>
    <w:p w:rsidR="00000000" w:rsidRDefault="00501E77">
      <w:pPr>
        <w:pStyle w:val="Normlnywebov"/>
        <w:ind w:left="450"/>
      </w:pPr>
      <w:r>
        <w:t>Investície v rámci operačného programu by mali b</w:t>
      </w:r>
      <w:r>
        <w:t>yť realizované s ohľadom na plánované výsledky programu a jednotlivé projekty by mali prispievať k naplneniu aspoň jedného z plánovaných výsledkov príslušného špecifického cieľa. Projekt Digitálny ekosystém inklúzie má za cieľ prispieť k dvom z troch pláno</w:t>
      </w:r>
      <w:r>
        <w:t>vaných výsledkov v rámci špecifického cieľa 7.4 a trom zo štyroch plánovaných výsledkov v rámci špecifického cieľa 7.6.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00000">
        <w:trPr>
          <w:divId w:val="1362777887"/>
          <w:tblCellSpacing w:w="15" w:type="dxa"/>
        </w:trPr>
        <w:tc>
          <w:tcPr>
            <w:tcW w:w="0" w:type="auto"/>
            <w:vAlign w:val="center"/>
            <w:hideMark/>
          </w:tcPr>
          <w:p w:rsidR="00000000" w:rsidRDefault="00501E77">
            <w:pPr>
              <w:jc w:val="center"/>
              <w:rPr>
                <w:rFonts w:eastAsia="Times New Roman"/>
                <w:b/>
                <w:bCs/>
              </w:rPr>
            </w:pPr>
            <w:r>
              <w:rPr>
                <w:rFonts w:eastAsia="Times New Roman"/>
                <w:b/>
                <w:bCs/>
              </w:rPr>
              <w:t>ŠC</w:t>
            </w:r>
          </w:p>
        </w:tc>
        <w:tc>
          <w:tcPr>
            <w:tcW w:w="0" w:type="auto"/>
            <w:vAlign w:val="center"/>
            <w:hideMark/>
          </w:tcPr>
          <w:p w:rsidR="00000000" w:rsidRDefault="00501E77">
            <w:pPr>
              <w:pStyle w:val="Normlnywebov"/>
              <w:jc w:val="center"/>
              <w:rPr>
                <w:b/>
                <w:bCs/>
              </w:rPr>
            </w:pPr>
            <w:r>
              <w:rPr>
                <w:b/>
                <w:bCs/>
              </w:rPr>
              <w:t>Výsledok</w:t>
            </w:r>
          </w:p>
        </w:tc>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jc w:val="center"/>
              <w:rPr>
                <w:b/>
                <w:bCs/>
              </w:rPr>
            </w:pPr>
            <w:r>
              <w:rPr>
                <w:b/>
                <w:bCs/>
              </w:rPr>
              <w:t>Zdôvodnenie</w:t>
            </w:r>
          </w:p>
        </w:tc>
      </w:tr>
      <w:tr w:rsidR="00000000">
        <w:trPr>
          <w:divId w:val="1362777887"/>
          <w:cantSplit/>
          <w:tblCellSpacing w:w="15" w:type="dxa"/>
        </w:trPr>
        <w:tc>
          <w:tcPr>
            <w:tcW w:w="0" w:type="auto"/>
            <w:vMerge w:val="restart"/>
            <w:vAlign w:val="center"/>
            <w:hideMark/>
          </w:tcPr>
          <w:p w:rsidR="00000000" w:rsidRDefault="00501E77">
            <w:pPr>
              <w:rPr>
                <w:rFonts w:eastAsia="Times New Roman"/>
              </w:rPr>
            </w:pPr>
            <w:r>
              <w:rPr>
                <w:rFonts w:eastAsia="Times New Roman"/>
              </w:rPr>
              <w:t>7.4</w:t>
            </w:r>
          </w:p>
        </w:tc>
        <w:tc>
          <w:tcPr>
            <w:tcW w:w="0" w:type="auto"/>
            <w:vAlign w:val="center"/>
            <w:hideMark/>
          </w:tcPr>
          <w:p w:rsidR="00000000" w:rsidRDefault="00501E77">
            <w:pPr>
              <w:pStyle w:val="Normlnywebov"/>
            </w:pPr>
            <w:r>
              <w:t>Používanie služieb eGovernmentu sa stane všeobecným štandardom za celkovej vysokej spoko</w:t>
            </w:r>
            <w:r>
              <w:t>jnosti s kvalitou</w:t>
            </w:r>
          </w:p>
          <w:p w:rsidR="00000000" w:rsidRDefault="00501E77">
            <w:pPr>
              <w:rPr>
                <w:rFonts w:eastAsia="Times New Roman"/>
              </w:rPr>
            </w:pPr>
            <w:r>
              <w:rPr>
                <w:rFonts w:eastAsia="Times New Roman"/>
              </w:rPr>
              <w:t>služieb</w:t>
            </w:r>
          </w:p>
        </w:tc>
        <w:tc>
          <w:tcPr>
            <w:tcW w:w="0" w:type="auto"/>
            <w:vAlign w:val="center"/>
            <w:hideMark/>
          </w:tcPr>
          <w:p w:rsidR="00000000" w:rsidRDefault="00501E77">
            <w:pPr>
              <w:rPr>
                <w:rFonts w:eastAsia="Times New Roman"/>
              </w:rPr>
            </w:pPr>
            <w:r>
              <w:rPr>
                <w:rFonts w:eastAsia="Times New Roman"/>
              </w:rPr>
              <w:t>Priamy</w:t>
            </w:r>
          </w:p>
        </w:tc>
        <w:tc>
          <w:tcPr>
            <w:tcW w:w="0" w:type="auto"/>
            <w:vAlign w:val="center"/>
            <w:hideMark/>
          </w:tcPr>
          <w:p w:rsidR="00000000" w:rsidRDefault="00501E77">
            <w:pPr>
              <w:rPr>
                <w:rFonts w:eastAsia="Times New Roman"/>
              </w:rPr>
            </w:pPr>
            <w:r>
              <w:rPr>
                <w:rFonts w:eastAsia="Times New Roman"/>
              </w:rPr>
              <w:t>Projekt zavedie nové koncové služby pre občanov a zároveň vytvorí dopyt po zvýšení úrovne vzdelávania sa obyvateľstva v digitálnom prostredí.</w:t>
            </w:r>
          </w:p>
        </w:tc>
      </w:tr>
      <w:tr w:rsidR="00000000">
        <w:trPr>
          <w:divId w:val="1362777887"/>
          <w:cantSplit/>
          <w:tblCellSpacing w:w="15" w:type="dxa"/>
        </w:trPr>
        <w:tc>
          <w:tcPr>
            <w:tcW w:w="0" w:type="auto"/>
            <w:vMerge/>
            <w:vAlign w:val="center"/>
            <w:hideMark/>
          </w:tcPr>
          <w:p w:rsidR="00000000" w:rsidRDefault="00501E77">
            <w:pPr>
              <w:rPr>
                <w:rFonts w:eastAsia="Times New Roman"/>
              </w:rPr>
            </w:pPr>
          </w:p>
        </w:tc>
        <w:tc>
          <w:tcPr>
            <w:tcW w:w="0" w:type="auto"/>
            <w:vAlign w:val="center"/>
            <w:hideMark/>
          </w:tcPr>
          <w:p w:rsidR="00000000" w:rsidRDefault="00501E77">
            <w:pPr>
              <w:pStyle w:val="Normlnywebov"/>
            </w:pPr>
            <w:r>
              <w:t>Zvýšenie kvality života občanov - výrazne sa zredukuje čas potrebný na riešenie životných situácií s verejnou správou</w:t>
            </w:r>
          </w:p>
          <w:p w:rsidR="00000000" w:rsidRDefault="00501E77">
            <w:pPr>
              <w:rPr>
                <w:rFonts w:eastAsia="Times New Roman"/>
              </w:rPr>
            </w:pPr>
            <w:r>
              <w:rPr>
                <w:rFonts w:eastAsia="Times New Roman"/>
              </w:rPr>
              <w:t>a zvýšia sa možnosti participácie na správe vecí verejných</w:t>
            </w:r>
          </w:p>
        </w:tc>
        <w:tc>
          <w:tcPr>
            <w:tcW w:w="0" w:type="auto"/>
            <w:vAlign w:val="center"/>
            <w:hideMark/>
          </w:tcPr>
          <w:p w:rsidR="00000000" w:rsidRDefault="00501E77">
            <w:pPr>
              <w:rPr>
                <w:rFonts w:eastAsia="Times New Roman"/>
              </w:rPr>
            </w:pPr>
            <w:r>
              <w:rPr>
                <w:rFonts w:eastAsia="Times New Roman"/>
              </w:rPr>
              <w:t>Čiastočne</w:t>
            </w:r>
          </w:p>
        </w:tc>
        <w:tc>
          <w:tcPr>
            <w:tcW w:w="0" w:type="auto"/>
            <w:vAlign w:val="center"/>
            <w:hideMark/>
          </w:tcPr>
          <w:p w:rsidR="00000000" w:rsidRDefault="00501E77">
            <w:pPr>
              <w:rPr>
                <w:rFonts w:eastAsia="Times New Roman"/>
              </w:rPr>
            </w:pPr>
            <w:r>
              <w:rPr>
                <w:rFonts w:eastAsia="Times New Roman"/>
              </w:rPr>
              <w:t>Projekt rieši aktuálne témy z hľadiska zamestnávateľov, ako aj zamest</w:t>
            </w:r>
            <w:r>
              <w:rPr>
                <w:rFonts w:eastAsia="Times New Roman"/>
              </w:rPr>
              <w:t>nancov, keďže umožní hodnotenie a certifikovanie digitálnych komptencií (najmä) v informatike, pre účely udržania pracovnej sily na trhu práce, ktorý sa mení v dôsledku automatizácie a rozvojom umelej inteligencie. Zavedením projektu sa občanom umožní efek</w:t>
            </w:r>
            <w:r>
              <w:rPr>
                <w:rFonts w:eastAsia="Times New Roman"/>
              </w:rPr>
              <w:t>tívnejšie a rýchlejšie získanie certifikácie ich kompetencií pre potreby zamestnávateľov a pracovného trhu.</w:t>
            </w:r>
          </w:p>
        </w:tc>
      </w:tr>
      <w:tr w:rsidR="00000000">
        <w:trPr>
          <w:divId w:val="1362777887"/>
          <w:cantSplit/>
          <w:tblCellSpacing w:w="15" w:type="dxa"/>
        </w:trPr>
        <w:tc>
          <w:tcPr>
            <w:tcW w:w="0" w:type="auto"/>
            <w:vMerge w:val="restart"/>
            <w:vAlign w:val="center"/>
            <w:hideMark/>
          </w:tcPr>
          <w:p w:rsidR="00000000" w:rsidRDefault="00501E77">
            <w:pPr>
              <w:rPr>
                <w:rFonts w:eastAsia="Times New Roman"/>
              </w:rPr>
            </w:pPr>
            <w:r>
              <w:rPr>
                <w:rFonts w:eastAsia="Times New Roman"/>
              </w:rPr>
              <w:t>7.6</w:t>
            </w:r>
          </w:p>
        </w:tc>
        <w:tc>
          <w:tcPr>
            <w:tcW w:w="0" w:type="auto"/>
            <w:vAlign w:val="center"/>
            <w:hideMark/>
          </w:tcPr>
          <w:p w:rsidR="00000000" w:rsidRDefault="00501E77">
            <w:pPr>
              <w:pStyle w:val="Normlnywebov"/>
            </w:pPr>
            <w:r>
              <w:t>Zvýšenie dostupnosti vzdelávacích materiálov a digitálneho obsahu vo vhodnom formáte</w:t>
            </w:r>
          </w:p>
        </w:tc>
        <w:tc>
          <w:tcPr>
            <w:tcW w:w="0" w:type="auto"/>
            <w:vAlign w:val="center"/>
            <w:hideMark/>
          </w:tcPr>
          <w:p w:rsidR="00000000" w:rsidRDefault="00501E77">
            <w:pPr>
              <w:pStyle w:val="Normlnywebov"/>
            </w:pPr>
            <w:r>
              <w:t>Čiastočne</w:t>
            </w:r>
          </w:p>
        </w:tc>
        <w:tc>
          <w:tcPr>
            <w:tcW w:w="0" w:type="auto"/>
            <w:vAlign w:val="center"/>
            <w:hideMark/>
          </w:tcPr>
          <w:p w:rsidR="00000000" w:rsidRDefault="00501E77">
            <w:pPr>
              <w:pStyle w:val="Normlnywebov"/>
            </w:pPr>
            <w:r>
              <w:t xml:space="preserve">Projekt sprístupní online dostupné certifikačné </w:t>
            </w:r>
            <w:r>
              <w:t>testy pre hodnotenie úrovne digitálnych kompetencií.</w:t>
            </w:r>
          </w:p>
        </w:tc>
      </w:tr>
      <w:tr w:rsidR="00000000">
        <w:trPr>
          <w:divId w:val="1362777887"/>
          <w:cantSplit/>
          <w:tblCellSpacing w:w="15" w:type="dxa"/>
        </w:trPr>
        <w:tc>
          <w:tcPr>
            <w:tcW w:w="0" w:type="auto"/>
            <w:vMerge/>
            <w:vAlign w:val="center"/>
            <w:hideMark/>
          </w:tcPr>
          <w:p w:rsidR="00000000" w:rsidRDefault="00501E77">
            <w:pPr>
              <w:rPr>
                <w:rFonts w:eastAsia="Times New Roman"/>
              </w:rPr>
            </w:pPr>
          </w:p>
        </w:tc>
        <w:tc>
          <w:tcPr>
            <w:tcW w:w="0" w:type="auto"/>
            <w:vAlign w:val="center"/>
            <w:hideMark/>
          </w:tcPr>
          <w:p w:rsidR="00000000" w:rsidRDefault="00501E77">
            <w:pPr>
              <w:pStyle w:val="Normlnywebov"/>
            </w:pPr>
            <w:r>
              <w:t>Zvýšenie intenzity využívania služieb a vzdelávania sa v digitálnom prostredí</w:t>
            </w:r>
          </w:p>
        </w:tc>
        <w:tc>
          <w:tcPr>
            <w:tcW w:w="0" w:type="auto"/>
            <w:vAlign w:val="center"/>
            <w:hideMark/>
          </w:tcPr>
          <w:p w:rsidR="00000000" w:rsidRDefault="00501E77">
            <w:pPr>
              <w:pStyle w:val="Normlnywebov"/>
            </w:pPr>
            <w:r>
              <w:t>Priamy</w:t>
            </w:r>
          </w:p>
        </w:tc>
        <w:tc>
          <w:tcPr>
            <w:tcW w:w="0" w:type="auto"/>
            <w:vAlign w:val="center"/>
            <w:hideMark/>
          </w:tcPr>
          <w:p w:rsidR="00000000" w:rsidRDefault="00501E77">
            <w:pPr>
              <w:pStyle w:val="Normlnywebov"/>
            </w:pPr>
            <w:r>
              <w:t xml:space="preserve">Projekt zavedie nové koncové služby pre znevýhodnené skupiny obyvateľstva a zároveň vytvorí dopyt po zvýšení úrovne </w:t>
            </w:r>
            <w:r>
              <w:t>vzdelávania sa obyvateľstva v digitálnom prostredí.</w:t>
            </w:r>
          </w:p>
        </w:tc>
      </w:tr>
      <w:tr w:rsidR="00000000">
        <w:trPr>
          <w:divId w:val="1362777887"/>
          <w:cantSplit/>
          <w:tblCellSpacing w:w="15" w:type="dxa"/>
        </w:trPr>
        <w:tc>
          <w:tcPr>
            <w:tcW w:w="0" w:type="auto"/>
            <w:vMerge/>
            <w:vAlign w:val="center"/>
            <w:hideMark/>
          </w:tcPr>
          <w:p w:rsidR="00000000" w:rsidRDefault="00501E77">
            <w:pPr>
              <w:rPr>
                <w:rFonts w:eastAsia="Times New Roman"/>
              </w:rPr>
            </w:pPr>
          </w:p>
        </w:tc>
        <w:tc>
          <w:tcPr>
            <w:tcW w:w="0" w:type="auto"/>
            <w:vAlign w:val="center"/>
            <w:hideMark/>
          </w:tcPr>
          <w:p w:rsidR="00000000" w:rsidRDefault="00501E77">
            <w:pPr>
              <w:pStyle w:val="Normlnywebov"/>
            </w:pPr>
            <w:r>
              <w:t>Zvýšenie aktívneho zapojenia do ekonomického a sociálneho diania v svojom okolí</w:t>
            </w:r>
          </w:p>
        </w:tc>
        <w:tc>
          <w:tcPr>
            <w:tcW w:w="0" w:type="auto"/>
            <w:vAlign w:val="center"/>
            <w:hideMark/>
          </w:tcPr>
          <w:p w:rsidR="00000000" w:rsidRDefault="00501E77">
            <w:pPr>
              <w:pStyle w:val="Normlnywebov"/>
            </w:pPr>
            <w:r>
              <w:t>Čiastočne</w:t>
            </w:r>
          </w:p>
        </w:tc>
        <w:tc>
          <w:tcPr>
            <w:tcW w:w="0" w:type="auto"/>
            <w:vAlign w:val="center"/>
            <w:hideMark/>
          </w:tcPr>
          <w:p w:rsidR="00000000" w:rsidRDefault="00501E77">
            <w:pPr>
              <w:pStyle w:val="Normlnywebov"/>
            </w:pPr>
            <w:r>
              <w:t>Keďže zapojenie znevýhodnených skupín obyvateľstva do ekonomického života je v podstatnej miere závislé od samot</w:t>
            </w:r>
            <w:r>
              <w:t>nej osobnej aktivity konkrétneho obyvateľa, projekt prispieva k tomuto cieľu nepriamo a to prostredníctvom vytvorenia podmienok pre znevýhodnené skupiny. Celoslovensky platný a uznávaný certifikát bude predstavovať nástroj, vďaka ktorému sa znevýhodneným s</w:t>
            </w:r>
            <w:r>
              <w:t>kupinám sprístupnia nové možnosti zamestnania v oblastiach s vyššou pridanou hodnotou.</w:t>
            </w:r>
          </w:p>
        </w:tc>
      </w:tr>
    </w:tbl>
    <w:p w:rsidR="00000000" w:rsidRDefault="00501E77">
      <w:pPr>
        <w:pStyle w:val="Normlnywebov"/>
      </w:pPr>
      <w:r>
        <w:t> </w:t>
      </w:r>
    </w:p>
    <w:p w:rsidR="00000000" w:rsidRDefault="00501E77">
      <w:pPr>
        <w:pStyle w:val="Normlnywebov"/>
      </w:pPr>
      <w:r>
        <w:t>Príspevok k splneniu cieľov OP II je meraný prostredníctvom dosiahnutia merateľných výstupových a výsledkových ukazovateľov, nasledujúce tabuľky preukazujú spôsob pln</w:t>
      </w:r>
      <w:r>
        <w:t>enia merateľných ukazovateľov špecifických cieľov 7.4 a 7.6. operačného programu Integrovaná infraštruktúra a cieľov Strategického dokumentu pre oblasť rastu digitálnych služieb a oblasť infraštruktúry prístupovej siete novej generácie a operačného program</w:t>
      </w:r>
      <w:r>
        <w:t>u Integrovaná infraštruktúra: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46692168"/>
          <w:cantSplit/>
          <w:tblCellSpacing w:w="15" w:type="dxa"/>
        </w:trPr>
        <w:tc>
          <w:tcPr>
            <w:tcW w:w="0" w:type="auto"/>
            <w:vAlign w:val="center"/>
            <w:hideMark/>
          </w:tcPr>
          <w:p w:rsidR="00000000" w:rsidRDefault="00501E77">
            <w:pPr>
              <w:pStyle w:val="Normlnywebov"/>
              <w:jc w:val="center"/>
              <w:rPr>
                <w:b/>
                <w:bCs/>
              </w:rPr>
            </w:pPr>
            <w:r>
              <w:rPr>
                <w:b/>
                <w:bCs/>
              </w:rPr>
              <w:t>Ukazovateľ</w:t>
            </w:r>
          </w:p>
        </w:tc>
        <w:tc>
          <w:tcPr>
            <w:tcW w:w="0" w:type="auto"/>
            <w:vAlign w:val="center"/>
            <w:hideMark/>
          </w:tcPr>
          <w:p w:rsidR="00000000" w:rsidRDefault="00501E77">
            <w:pPr>
              <w:pStyle w:val="Normlnywebov"/>
            </w:pPr>
            <w:r>
              <w:t>Percento obyvateľstva s nepostačujúcimi IKT zručnosťami pre pracovný trh</w:t>
            </w:r>
          </w:p>
        </w:tc>
      </w:tr>
      <w:tr w:rsidR="00000000">
        <w:trPr>
          <w:divId w:val="246692168"/>
          <w:cantSplit/>
          <w:tblCellSpacing w:w="15" w:type="dxa"/>
        </w:trPr>
        <w:tc>
          <w:tcPr>
            <w:tcW w:w="0" w:type="auto"/>
            <w:vAlign w:val="center"/>
            <w:hideMark/>
          </w:tcPr>
          <w:p w:rsidR="00000000" w:rsidRDefault="00501E77">
            <w:pPr>
              <w:pStyle w:val="Normlnywebov"/>
              <w:jc w:val="center"/>
              <w:rPr>
                <w:b/>
                <w:bCs/>
              </w:rPr>
            </w:pPr>
            <w:r>
              <w:rPr>
                <w:b/>
                <w:bCs/>
              </w:rPr>
              <w:t>Typ ukazovateľa</w:t>
            </w:r>
          </w:p>
        </w:tc>
        <w:tc>
          <w:tcPr>
            <w:tcW w:w="0" w:type="auto"/>
            <w:vAlign w:val="center"/>
            <w:hideMark/>
          </w:tcPr>
          <w:p w:rsidR="00000000" w:rsidRDefault="00501E77">
            <w:pPr>
              <w:pStyle w:val="Normlnywebov"/>
            </w:pPr>
            <w:r>
              <w:t>Výsledkový (ukazovateľ strategického dokumentu)</w:t>
            </w:r>
          </w:p>
        </w:tc>
      </w:tr>
      <w:tr w:rsidR="00000000">
        <w:trPr>
          <w:divId w:val="246692168"/>
          <w:cantSplit/>
          <w:tblCellSpacing w:w="15" w:type="dxa"/>
        </w:trPr>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pPr>
            <w:r>
              <w:t>Priamy</w:t>
            </w:r>
          </w:p>
        </w:tc>
      </w:tr>
      <w:tr w:rsidR="00000000">
        <w:trPr>
          <w:divId w:val="246692168"/>
          <w:cantSplit/>
          <w:tblCellSpacing w:w="15" w:type="dxa"/>
        </w:trPr>
        <w:tc>
          <w:tcPr>
            <w:tcW w:w="0" w:type="auto"/>
            <w:vAlign w:val="center"/>
            <w:hideMark/>
          </w:tcPr>
          <w:p w:rsidR="00000000" w:rsidRDefault="00501E77">
            <w:pPr>
              <w:pStyle w:val="Normlnywebov"/>
              <w:jc w:val="center"/>
              <w:rPr>
                <w:b/>
                <w:bCs/>
              </w:rPr>
            </w:pPr>
            <w:r>
              <w:rPr>
                <w:b/>
                <w:bCs/>
              </w:rPr>
              <w:t>Zdôvodnenie</w:t>
            </w:r>
          </w:p>
        </w:tc>
        <w:tc>
          <w:tcPr>
            <w:tcW w:w="0" w:type="auto"/>
            <w:vAlign w:val="center"/>
            <w:hideMark/>
          </w:tcPr>
          <w:p w:rsidR="00000000" w:rsidRDefault="00501E77">
            <w:pPr>
              <w:pStyle w:val="Normlnywebov"/>
            </w:pPr>
            <w:r>
              <w:t>Ukazovateľ vyjadruje percento ekonomicky aktívneho obyvateľstva, ktoré nemá postačujúce IKT zručnosti pre potreby pracovného trhu. V rámci merania ukazovateľa, jednotlivci so zamestnaním, SZČO a opatrovatelia vo veku 16 až 74 zodpovedia na otázku (áno aleb</w:t>
            </w:r>
            <w:r>
              <w:t>o nie), či považujú svoje počítačové a internetové zručnosti dostatočné pre trh, ak by si mali do roka hľadať nové zamestnanie. Ukazovateľ možno ďalej segmentovať podľa zamestnaneckého postavenia, pohlavia, veku, miesta pobytu a podobne.</w:t>
            </w:r>
          </w:p>
          <w:p w:rsidR="00000000" w:rsidRDefault="00501E77">
            <w:pPr>
              <w:pStyle w:val="Normlnywebov"/>
            </w:pPr>
            <w:r>
              <w:t>Projekt v synergii</w:t>
            </w:r>
            <w:r>
              <w:t xml:space="preserve"> s aktivitami v rámci OP ĽZ umožní nielen zvýšenie digitálnych kompetencií, ale aj možnosť otestovania týchto kompetencií a získania certifikátu, ktorým potenciálnym zamestnávateľom preukáže úroveň týchto kompetencií a zamestnávateľ bude schopný jednoznačn</w:t>
            </w:r>
            <w:r>
              <w:t>e poznať úrovne ovládania informatiky svojich zamestnancov, resp. budúcich</w:t>
            </w:r>
          </w:p>
          <w:p w:rsidR="00000000" w:rsidRDefault="00501E77">
            <w:pPr>
              <w:pStyle w:val="Normlnywebov"/>
            </w:pPr>
            <w:r>
              <w:t>zamestnancov, ako aj mať prístup k hodnoteniu a certifikácii, ktorá jednoznačne overí splnenie kvalifikačného predpokladu v informatike</w:t>
            </w:r>
          </w:p>
        </w:tc>
      </w:tr>
      <w:tr w:rsidR="00000000">
        <w:trPr>
          <w:divId w:val="246692168"/>
          <w:cantSplit/>
          <w:tblCellSpacing w:w="15" w:type="dxa"/>
        </w:trPr>
        <w:tc>
          <w:tcPr>
            <w:tcW w:w="0" w:type="auto"/>
            <w:vAlign w:val="center"/>
            <w:hideMark/>
          </w:tcPr>
          <w:p w:rsidR="00000000" w:rsidRDefault="00501E77">
            <w:pPr>
              <w:pStyle w:val="Normlnywebov"/>
              <w:jc w:val="center"/>
              <w:rPr>
                <w:b/>
                <w:bCs/>
              </w:rPr>
            </w:pPr>
            <w:r>
              <w:rPr>
                <w:b/>
                <w:bCs/>
              </w:rPr>
              <w:t>Cieľová hodnota</w:t>
            </w:r>
          </w:p>
        </w:tc>
        <w:tc>
          <w:tcPr>
            <w:tcW w:w="0" w:type="auto"/>
            <w:vAlign w:val="center"/>
            <w:hideMark/>
          </w:tcPr>
          <w:p w:rsidR="00000000" w:rsidRDefault="00501E77">
            <w:pPr>
              <w:pStyle w:val="Normlnywebov"/>
            </w:pPr>
            <w:r>
              <w:t>10% (pokles z </w:t>
            </w:r>
            <w:r>
              <w:t>24,7% na 10,00%) z cieľovej skupiny</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cantSplit/>
          <w:tblCellSpacing w:w="15" w:type="dxa"/>
        </w:trPr>
        <w:tc>
          <w:tcPr>
            <w:tcW w:w="0" w:type="auto"/>
            <w:vAlign w:val="center"/>
            <w:hideMark/>
          </w:tcPr>
          <w:p w:rsidR="00000000" w:rsidRDefault="00501E77">
            <w:pPr>
              <w:pStyle w:val="Normlnywebov"/>
              <w:jc w:val="center"/>
              <w:rPr>
                <w:b/>
                <w:bCs/>
              </w:rPr>
            </w:pPr>
            <w:r>
              <w:rPr>
                <w:b/>
                <w:bCs/>
              </w:rPr>
              <w:t>Ukazovateľ</w:t>
            </w:r>
          </w:p>
        </w:tc>
        <w:tc>
          <w:tcPr>
            <w:tcW w:w="0" w:type="auto"/>
            <w:vAlign w:val="center"/>
            <w:hideMark/>
          </w:tcPr>
          <w:p w:rsidR="00000000" w:rsidRDefault="00501E77">
            <w:pPr>
              <w:pStyle w:val="Normlnywebov"/>
            </w:pPr>
            <w:r>
              <w:t xml:space="preserve">Celková spokojnosť občanov so službami eGovernmentu </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Typ ukazovateľa</w:t>
            </w:r>
          </w:p>
        </w:tc>
        <w:tc>
          <w:tcPr>
            <w:tcW w:w="0" w:type="auto"/>
            <w:vAlign w:val="center"/>
            <w:hideMark/>
          </w:tcPr>
          <w:p w:rsidR="00000000" w:rsidRDefault="00501E77">
            <w:pPr>
              <w:pStyle w:val="Normlnywebov"/>
            </w:pPr>
            <w:r>
              <w:t>Výsledkový</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pPr>
            <w:r>
              <w:t>Priamy</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Zdôvodnenie</w:t>
            </w:r>
          </w:p>
        </w:tc>
        <w:tc>
          <w:tcPr>
            <w:tcW w:w="0" w:type="auto"/>
            <w:vAlign w:val="center"/>
            <w:hideMark/>
          </w:tcPr>
          <w:p w:rsidR="00000000" w:rsidRDefault="00501E77">
            <w:pPr>
              <w:pStyle w:val="Normlnywebov"/>
            </w:pPr>
            <w:r>
              <w:t>Ukazovateľ vychádza z výsledkových ukazovateľov PO 7 OP II, cieľová hodnota zodpovedá cieľovej hodnote na úrovni programu.</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Cieľová hodnota</w:t>
            </w:r>
          </w:p>
        </w:tc>
        <w:tc>
          <w:tcPr>
            <w:tcW w:w="0" w:type="auto"/>
            <w:vAlign w:val="center"/>
            <w:hideMark/>
          </w:tcPr>
          <w:p w:rsidR="00000000" w:rsidRDefault="00501E77">
            <w:pPr>
              <w:pStyle w:val="Normlnywebov"/>
            </w:pPr>
            <w:r>
              <w:t xml:space="preserve">73% z občanov, ktorí využili elektronické služby v rámci projektu </w:t>
            </w:r>
          </w:p>
        </w:tc>
      </w:tr>
    </w:tbl>
    <w:p w:rsidR="00000000" w:rsidRDefault="00501E77">
      <w:pPr>
        <w:divId w:val="2010407100"/>
        <w:rPr>
          <w:rFonts w:eastAsia="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010407100"/>
          <w:cantSplit/>
          <w:tblCellSpacing w:w="15" w:type="dxa"/>
        </w:trPr>
        <w:tc>
          <w:tcPr>
            <w:tcW w:w="0" w:type="auto"/>
            <w:vAlign w:val="center"/>
            <w:hideMark/>
          </w:tcPr>
          <w:p w:rsidR="00000000" w:rsidRDefault="00501E77">
            <w:pPr>
              <w:pStyle w:val="Normlnywebov"/>
              <w:jc w:val="center"/>
              <w:rPr>
                <w:b/>
                <w:bCs/>
              </w:rPr>
            </w:pPr>
            <w:r>
              <w:rPr>
                <w:b/>
                <w:bCs/>
              </w:rPr>
              <w:t>Ukazovateľ</w:t>
            </w:r>
          </w:p>
        </w:tc>
        <w:tc>
          <w:tcPr>
            <w:tcW w:w="0" w:type="auto"/>
            <w:vAlign w:val="center"/>
            <w:hideMark/>
          </w:tcPr>
          <w:p w:rsidR="00000000" w:rsidRDefault="00501E77">
            <w:pPr>
              <w:pStyle w:val="Normlnywebov"/>
            </w:pPr>
            <w:r>
              <w:t>Celkové používanie služieb eGovernme</w:t>
            </w:r>
            <w:r>
              <w:t xml:space="preserve">ntu občanmi </w:t>
            </w:r>
          </w:p>
        </w:tc>
      </w:tr>
      <w:tr w:rsidR="00000000">
        <w:trPr>
          <w:divId w:val="2010407100"/>
          <w:cantSplit/>
          <w:tblCellSpacing w:w="15" w:type="dxa"/>
        </w:trPr>
        <w:tc>
          <w:tcPr>
            <w:tcW w:w="0" w:type="auto"/>
            <w:vAlign w:val="center"/>
            <w:hideMark/>
          </w:tcPr>
          <w:p w:rsidR="00000000" w:rsidRDefault="00501E77">
            <w:pPr>
              <w:pStyle w:val="Normlnywebov"/>
              <w:jc w:val="center"/>
              <w:rPr>
                <w:b/>
                <w:bCs/>
              </w:rPr>
            </w:pPr>
            <w:r>
              <w:rPr>
                <w:b/>
                <w:bCs/>
              </w:rPr>
              <w:t>Typ ukazovateľa</w:t>
            </w:r>
          </w:p>
        </w:tc>
        <w:tc>
          <w:tcPr>
            <w:tcW w:w="0" w:type="auto"/>
            <w:vAlign w:val="center"/>
            <w:hideMark/>
          </w:tcPr>
          <w:p w:rsidR="00000000" w:rsidRDefault="00501E77">
            <w:pPr>
              <w:pStyle w:val="Normlnywebov"/>
            </w:pPr>
            <w:r>
              <w:t>Výsledkový</w:t>
            </w:r>
          </w:p>
        </w:tc>
      </w:tr>
      <w:tr w:rsidR="00000000">
        <w:trPr>
          <w:divId w:val="2010407100"/>
          <w:cantSplit/>
          <w:tblCellSpacing w:w="15" w:type="dxa"/>
        </w:trPr>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pPr>
            <w:r>
              <w:t>Priamy</w:t>
            </w:r>
          </w:p>
        </w:tc>
      </w:tr>
      <w:tr w:rsidR="00000000">
        <w:trPr>
          <w:divId w:val="2010407100"/>
          <w:cantSplit/>
          <w:tblCellSpacing w:w="15" w:type="dxa"/>
        </w:trPr>
        <w:tc>
          <w:tcPr>
            <w:tcW w:w="0" w:type="auto"/>
            <w:vAlign w:val="center"/>
            <w:hideMark/>
          </w:tcPr>
          <w:p w:rsidR="00000000" w:rsidRDefault="00501E77">
            <w:pPr>
              <w:pStyle w:val="Normlnywebov"/>
              <w:jc w:val="center"/>
              <w:rPr>
                <w:b/>
                <w:bCs/>
              </w:rPr>
            </w:pPr>
            <w:r>
              <w:rPr>
                <w:b/>
                <w:bCs/>
              </w:rPr>
              <w:t>Zdôvodnenie</w:t>
            </w:r>
          </w:p>
        </w:tc>
        <w:tc>
          <w:tcPr>
            <w:tcW w:w="0" w:type="auto"/>
            <w:vAlign w:val="center"/>
            <w:hideMark/>
          </w:tcPr>
          <w:p w:rsidR="00000000" w:rsidRDefault="00501E77">
            <w:pPr>
              <w:pStyle w:val="Normlnywebov"/>
            </w:pPr>
            <w:r>
              <w:t>Výsledkový ukazovateľ definuje na celoslovenskej úrovni, aký podiel celkovej cieľovej skupiny využíva služby eGovernementu, pričom definuje percento jednotlivcov vo veku medzi 16 až 74 rokov, ktorí v posledných 12 mesiacoch mali interakciu online so štátno</w:t>
            </w:r>
            <w:r>
              <w:t>u správou - získavali informácie z webových stránok, sťahovali si formuláre alebo posielali vyplnené formuláre. Vzhľadom k uvedenému je možné stanoviť plán príspevku projektu k celkovému naplneniu ukazovateľa na základe ročnej plánovanej hodnoty realizovan</w:t>
            </w:r>
            <w:r>
              <w:t>ých self-testov, ktorá vstupuje do CBA. </w:t>
            </w:r>
          </w:p>
        </w:tc>
      </w:tr>
      <w:tr w:rsidR="00000000">
        <w:trPr>
          <w:divId w:val="2010407100"/>
          <w:cantSplit/>
          <w:tblCellSpacing w:w="15" w:type="dxa"/>
        </w:trPr>
        <w:tc>
          <w:tcPr>
            <w:tcW w:w="0" w:type="auto"/>
            <w:vAlign w:val="center"/>
            <w:hideMark/>
          </w:tcPr>
          <w:p w:rsidR="00000000" w:rsidRDefault="00501E77">
            <w:pPr>
              <w:pStyle w:val="Normlnywebov"/>
              <w:jc w:val="center"/>
              <w:rPr>
                <w:b/>
                <w:bCs/>
              </w:rPr>
            </w:pPr>
            <w:r>
              <w:rPr>
                <w:b/>
                <w:bCs/>
              </w:rPr>
              <w:t>Cieľová hodnota</w:t>
            </w:r>
          </w:p>
        </w:tc>
        <w:tc>
          <w:tcPr>
            <w:tcW w:w="0" w:type="auto"/>
            <w:vAlign w:val="center"/>
            <w:hideMark/>
          </w:tcPr>
          <w:p w:rsidR="00000000" w:rsidRDefault="00501E77">
            <w:pPr>
              <w:pStyle w:val="Normlnywebov"/>
            </w:pPr>
            <w:r>
              <w:t>50 000</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cantSplit/>
          <w:tblCellSpacing w:w="15" w:type="dxa"/>
        </w:trPr>
        <w:tc>
          <w:tcPr>
            <w:tcW w:w="0" w:type="auto"/>
            <w:vAlign w:val="center"/>
            <w:hideMark/>
          </w:tcPr>
          <w:p w:rsidR="00000000" w:rsidRDefault="00501E77">
            <w:pPr>
              <w:pStyle w:val="Normlnywebov"/>
              <w:jc w:val="center"/>
              <w:rPr>
                <w:b/>
                <w:bCs/>
              </w:rPr>
            </w:pPr>
            <w:r>
              <w:rPr>
                <w:b/>
                <w:bCs/>
              </w:rPr>
              <w:t>Ukazovateľ</w:t>
            </w:r>
          </w:p>
        </w:tc>
        <w:tc>
          <w:tcPr>
            <w:tcW w:w="0" w:type="auto"/>
            <w:vAlign w:val="center"/>
            <w:hideMark/>
          </w:tcPr>
          <w:p w:rsidR="00000000" w:rsidRDefault="00501E77">
            <w:pPr>
              <w:pStyle w:val="Normlnywebov"/>
            </w:pPr>
            <w:r>
              <w:t>Počet zavedených elektronických služieb, ktoré prispievajú k riešeniu životných situácií pre občanov</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Typ ukazovateľa</w:t>
            </w:r>
          </w:p>
        </w:tc>
        <w:tc>
          <w:tcPr>
            <w:tcW w:w="0" w:type="auto"/>
            <w:vAlign w:val="center"/>
            <w:hideMark/>
          </w:tcPr>
          <w:p w:rsidR="00000000" w:rsidRDefault="00501E77">
            <w:pPr>
              <w:pStyle w:val="Normlnywebov"/>
            </w:pPr>
            <w:r>
              <w:t>Výstupový</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pPr>
            <w:r>
              <w:t>Priamy</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Zdôvodnenie</w:t>
            </w:r>
          </w:p>
        </w:tc>
        <w:tc>
          <w:tcPr>
            <w:tcW w:w="0" w:type="auto"/>
            <w:vAlign w:val="center"/>
            <w:hideMark/>
          </w:tcPr>
          <w:p w:rsidR="00000000" w:rsidRDefault="00501E77">
            <w:pPr>
              <w:pStyle w:val="Normlnywebov"/>
            </w:pPr>
            <w:r>
              <w:t>Projekt predpokladá zavedenie nových elektronických služieb pre občanov  </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Cieľová hodnota</w:t>
            </w:r>
          </w:p>
        </w:tc>
        <w:tc>
          <w:tcPr>
            <w:tcW w:w="0" w:type="auto"/>
            <w:vAlign w:val="center"/>
            <w:hideMark/>
          </w:tcPr>
          <w:p w:rsidR="00000000" w:rsidRDefault="00501E77">
            <w:pPr>
              <w:pStyle w:val="Normlnywebov"/>
            </w:pPr>
            <w:r>
              <w:t>4 koncové elektronické služby</w:t>
            </w:r>
          </w:p>
        </w:tc>
      </w:tr>
    </w:tbl>
    <w:p w:rsidR="00000000" w:rsidRDefault="00501E77">
      <w:pPr>
        <w:divId w:val="305429976"/>
        <w:rPr>
          <w:rFonts w:eastAsia="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305429976"/>
          <w:cantSplit/>
          <w:tblCellSpacing w:w="15" w:type="dxa"/>
        </w:trPr>
        <w:tc>
          <w:tcPr>
            <w:tcW w:w="0" w:type="auto"/>
            <w:vAlign w:val="center"/>
            <w:hideMark/>
          </w:tcPr>
          <w:p w:rsidR="00000000" w:rsidRDefault="00501E77">
            <w:pPr>
              <w:pStyle w:val="Normlnywebov"/>
              <w:jc w:val="center"/>
              <w:rPr>
                <w:b/>
                <w:bCs/>
              </w:rPr>
            </w:pPr>
            <w:r>
              <w:rPr>
                <w:rStyle w:val="Siln"/>
              </w:rPr>
              <w:t>Ukazovateľ</w:t>
            </w:r>
          </w:p>
        </w:tc>
        <w:tc>
          <w:tcPr>
            <w:tcW w:w="0" w:type="auto"/>
            <w:vAlign w:val="center"/>
            <w:hideMark/>
          </w:tcPr>
          <w:p w:rsidR="00000000" w:rsidRDefault="00501E77">
            <w:pPr>
              <w:pStyle w:val="Normlnywebov"/>
            </w:pPr>
            <w:r>
              <w:t>Percento znevýhodnených jednotlivcov používajúcich internet</w:t>
            </w:r>
          </w:p>
        </w:tc>
      </w:tr>
      <w:tr w:rsidR="00000000">
        <w:trPr>
          <w:divId w:val="305429976"/>
          <w:cantSplit/>
          <w:tblCellSpacing w:w="15" w:type="dxa"/>
        </w:trPr>
        <w:tc>
          <w:tcPr>
            <w:tcW w:w="0" w:type="auto"/>
            <w:vAlign w:val="center"/>
            <w:hideMark/>
          </w:tcPr>
          <w:p w:rsidR="00000000" w:rsidRDefault="00501E77">
            <w:pPr>
              <w:pStyle w:val="Normlnywebov"/>
              <w:jc w:val="center"/>
              <w:rPr>
                <w:b/>
                <w:bCs/>
              </w:rPr>
            </w:pPr>
            <w:r>
              <w:rPr>
                <w:rStyle w:val="Siln"/>
              </w:rPr>
              <w:t>Typ ukazovateľa</w:t>
            </w:r>
          </w:p>
        </w:tc>
        <w:tc>
          <w:tcPr>
            <w:tcW w:w="0" w:type="auto"/>
            <w:vAlign w:val="center"/>
            <w:hideMark/>
          </w:tcPr>
          <w:p w:rsidR="00000000" w:rsidRDefault="00501E77">
            <w:pPr>
              <w:pStyle w:val="Normlnywebov"/>
            </w:pPr>
            <w:r>
              <w:t>Výsledkový</w:t>
            </w:r>
          </w:p>
        </w:tc>
      </w:tr>
      <w:tr w:rsidR="00000000">
        <w:trPr>
          <w:divId w:val="305429976"/>
          <w:cantSplit/>
          <w:tblCellSpacing w:w="15" w:type="dxa"/>
        </w:trPr>
        <w:tc>
          <w:tcPr>
            <w:tcW w:w="0" w:type="auto"/>
            <w:vAlign w:val="center"/>
            <w:hideMark/>
          </w:tcPr>
          <w:p w:rsidR="00000000" w:rsidRDefault="00501E77">
            <w:pPr>
              <w:pStyle w:val="Normlnywebov"/>
              <w:jc w:val="center"/>
              <w:rPr>
                <w:b/>
                <w:bCs/>
              </w:rPr>
            </w:pPr>
            <w:r>
              <w:rPr>
                <w:rStyle w:val="Siln"/>
              </w:rPr>
              <w:t>Príspevok projektu</w:t>
            </w:r>
          </w:p>
        </w:tc>
        <w:tc>
          <w:tcPr>
            <w:tcW w:w="0" w:type="auto"/>
            <w:vAlign w:val="center"/>
            <w:hideMark/>
          </w:tcPr>
          <w:p w:rsidR="00000000" w:rsidRDefault="00501E77">
            <w:pPr>
              <w:pStyle w:val="Normlnywebov"/>
            </w:pPr>
            <w:r>
              <w:t>Priamy</w:t>
            </w:r>
          </w:p>
        </w:tc>
      </w:tr>
      <w:tr w:rsidR="00000000">
        <w:trPr>
          <w:divId w:val="305429976"/>
          <w:cantSplit/>
          <w:tblCellSpacing w:w="15" w:type="dxa"/>
        </w:trPr>
        <w:tc>
          <w:tcPr>
            <w:tcW w:w="0" w:type="auto"/>
            <w:vAlign w:val="center"/>
            <w:hideMark/>
          </w:tcPr>
          <w:p w:rsidR="00000000" w:rsidRDefault="00501E77">
            <w:pPr>
              <w:pStyle w:val="Normlnywebov"/>
              <w:jc w:val="center"/>
              <w:rPr>
                <w:b/>
                <w:bCs/>
              </w:rPr>
            </w:pPr>
            <w:r>
              <w:rPr>
                <w:rStyle w:val="Siln"/>
              </w:rPr>
              <w:t>Zdôvod</w:t>
            </w:r>
            <w:r>
              <w:rPr>
                <w:rStyle w:val="Siln"/>
              </w:rPr>
              <w:t>nenie</w:t>
            </w:r>
          </w:p>
        </w:tc>
        <w:tc>
          <w:tcPr>
            <w:tcW w:w="0" w:type="auto"/>
            <w:vAlign w:val="center"/>
            <w:hideMark/>
          </w:tcPr>
          <w:p w:rsidR="00000000" w:rsidRDefault="00501E77">
            <w:pPr>
              <w:pStyle w:val="Normlnywebov"/>
            </w:pPr>
            <w:r>
              <w:t>Hoci sa výsledkový ukazovateľ nesleduje priamo ako výstup projektu, realizáciou projektu sa prispeje k tomu, že cieľová skupina, ktorou sú jednotlivci, ktorí disponujú aspoň jednou z nasledujúcich charakteristík: vek 55 až 74 rokov, nízka úroveň vzde</w:t>
            </w:r>
            <w:r>
              <w:t>lania (ISCED 0-2) a/alebo sa nachádzajú mimo pracovného trhu (nezamestnaní, neaktívni alebo na dôchodku), bude a) priamo - využívať internet na prístup k službám projektu (self-testing, certifikácia)</w:t>
            </w:r>
          </w:p>
          <w:p w:rsidR="00000000" w:rsidRDefault="00501E77">
            <w:pPr>
              <w:pStyle w:val="Normlnywebov"/>
            </w:pPr>
            <w:r>
              <w:t>b) nepriamo - s cieľom získať certifikát absolvuje potre</w:t>
            </w:r>
            <w:r>
              <w:t>bné kurzy, kde nadobudne potrebné zručnosti pre využívanie služieb dostupných na internete (vyhľadávanie contentu, nákup, elektronické služby štátu, internetové bankovníctvo a pod.) a začne ho pravidelne využívať.</w:t>
            </w:r>
          </w:p>
        </w:tc>
      </w:tr>
      <w:tr w:rsidR="00000000">
        <w:trPr>
          <w:divId w:val="305429976"/>
          <w:cantSplit/>
          <w:tblCellSpacing w:w="15" w:type="dxa"/>
        </w:trPr>
        <w:tc>
          <w:tcPr>
            <w:tcW w:w="0" w:type="auto"/>
            <w:vAlign w:val="center"/>
            <w:hideMark/>
          </w:tcPr>
          <w:p w:rsidR="00000000" w:rsidRDefault="00501E77">
            <w:pPr>
              <w:pStyle w:val="Normlnywebov"/>
              <w:jc w:val="center"/>
              <w:rPr>
                <w:b/>
                <w:bCs/>
              </w:rPr>
            </w:pPr>
            <w:r>
              <w:rPr>
                <w:rStyle w:val="Siln"/>
              </w:rPr>
              <w:t>Cieľová hodnota</w:t>
            </w:r>
          </w:p>
        </w:tc>
        <w:tc>
          <w:tcPr>
            <w:tcW w:w="0" w:type="auto"/>
            <w:vAlign w:val="center"/>
            <w:hideMark/>
          </w:tcPr>
          <w:p w:rsidR="00000000" w:rsidRDefault="00501E77">
            <w:pPr>
              <w:pStyle w:val="Normlnywebov"/>
            </w:pPr>
            <w:r>
              <w:t>70% z cieľovej skupiny znevýhodnených občanov</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cantSplit/>
          <w:tblCellSpacing w:w="15" w:type="dxa"/>
        </w:trPr>
        <w:tc>
          <w:tcPr>
            <w:tcW w:w="0" w:type="auto"/>
            <w:vAlign w:val="center"/>
            <w:hideMark/>
          </w:tcPr>
          <w:p w:rsidR="00000000" w:rsidRDefault="00501E77">
            <w:pPr>
              <w:pStyle w:val="Normlnywebov"/>
              <w:jc w:val="center"/>
              <w:rPr>
                <w:b/>
                <w:bCs/>
              </w:rPr>
            </w:pPr>
            <w:r>
              <w:rPr>
                <w:b/>
                <w:bCs/>
              </w:rPr>
              <w:t>Ukazovateľ</w:t>
            </w:r>
          </w:p>
        </w:tc>
        <w:tc>
          <w:tcPr>
            <w:tcW w:w="0" w:type="auto"/>
            <w:vAlign w:val="center"/>
            <w:hideMark/>
          </w:tcPr>
          <w:p w:rsidR="00000000" w:rsidRDefault="00501E77">
            <w:pPr>
              <w:pStyle w:val="Normlnywebov"/>
            </w:pPr>
            <w:r>
              <w:t>Zvýšenie používania elektronických služieb znevýhodnenými skupinami</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Typ ukazovateľa</w:t>
            </w:r>
          </w:p>
        </w:tc>
        <w:tc>
          <w:tcPr>
            <w:tcW w:w="0" w:type="auto"/>
            <w:vAlign w:val="center"/>
            <w:hideMark/>
          </w:tcPr>
          <w:p w:rsidR="00000000" w:rsidRDefault="00501E77">
            <w:pPr>
              <w:pStyle w:val="Normlnywebov"/>
            </w:pPr>
            <w:r>
              <w:t>Výstupový</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pPr>
            <w:r>
              <w:t>Priamy</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Zdôvodnenie</w:t>
            </w:r>
          </w:p>
        </w:tc>
        <w:tc>
          <w:tcPr>
            <w:tcW w:w="0" w:type="auto"/>
            <w:vAlign w:val="center"/>
            <w:hideMark/>
          </w:tcPr>
          <w:p w:rsidR="00000000" w:rsidRDefault="00501E77">
            <w:pPr>
              <w:pStyle w:val="Normlnywebov"/>
            </w:pPr>
            <w:r>
              <w:t>Projekt predpokladá zavedenie nových elektronických služieb pr</w:t>
            </w:r>
            <w:r>
              <w:t>e znevýhodnené skupiny obyvateľstva a zároveň prostredníctvom zvyšovania digitálnych kompetencií nepriamo umožní aj zvýšenie využívania elektronických služieb štátu ako celku.</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Cieľová hodnota</w:t>
            </w:r>
          </w:p>
        </w:tc>
        <w:tc>
          <w:tcPr>
            <w:tcW w:w="0" w:type="auto"/>
            <w:vAlign w:val="center"/>
            <w:hideMark/>
          </w:tcPr>
          <w:p w:rsidR="00000000" w:rsidRDefault="00501E77">
            <w:pPr>
              <w:pStyle w:val="Normlnywebov"/>
            </w:pPr>
            <w:r>
              <w:t>230 000 jednotlivcov patriacich do znevýhodnenej skupiny (po sk</w:t>
            </w:r>
            <w:r>
              <w:t>ončení 5 ročného obdobia udržateľnosti)</w:t>
            </w:r>
          </w:p>
        </w:tc>
      </w:tr>
    </w:tbl>
    <w:p w:rsidR="00000000" w:rsidRDefault="00501E77">
      <w:pPr>
        <w:divId w:val="20863020"/>
        <w:rPr>
          <w:rFonts w:eastAsia="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0863020"/>
          <w:cantSplit/>
          <w:tblCellSpacing w:w="15" w:type="dxa"/>
        </w:trPr>
        <w:tc>
          <w:tcPr>
            <w:tcW w:w="0" w:type="auto"/>
            <w:vAlign w:val="center"/>
            <w:hideMark/>
          </w:tcPr>
          <w:p w:rsidR="00000000" w:rsidRDefault="00501E77">
            <w:pPr>
              <w:pStyle w:val="Normlnywebov"/>
              <w:jc w:val="center"/>
              <w:rPr>
                <w:b/>
                <w:bCs/>
              </w:rPr>
            </w:pPr>
            <w:r>
              <w:rPr>
                <w:b/>
                <w:bCs/>
              </w:rPr>
              <w:t>Ukazovateľ</w:t>
            </w:r>
          </w:p>
        </w:tc>
        <w:tc>
          <w:tcPr>
            <w:tcW w:w="0" w:type="auto"/>
            <w:vAlign w:val="center"/>
            <w:hideMark/>
          </w:tcPr>
          <w:p w:rsidR="00000000" w:rsidRDefault="00501E77">
            <w:pPr>
              <w:pStyle w:val="Normlnywebov"/>
            </w:pPr>
            <w:r>
              <w:t>Počet nových alebo modifikovaných elektronických služieb eGovernmentu pre potreby identifikovaných znevýhodnených skupín</w:t>
            </w:r>
          </w:p>
        </w:tc>
      </w:tr>
      <w:tr w:rsidR="00000000">
        <w:trPr>
          <w:divId w:val="20863020"/>
          <w:cantSplit/>
          <w:tblCellSpacing w:w="15" w:type="dxa"/>
        </w:trPr>
        <w:tc>
          <w:tcPr>
            <w:tcW w:w="0" w:type="auto"/>
            <w:vAlign w:val="center"/>
            <w:hideMark/>
          </w:tcPr>
          <w:p w:rsidR="00000000" w:rsidRDefault="00501E77">
            <w:pPr>
              <w:pStyle w:val="Normlnywebov"/>
              <w:jc w:val="center"/>
              <w:rPr>
                <w:b/>
                <w:bCs/>
              </w:rPr>
            </w:pPr>
            <w:r>
              <w:rPr>
                <w:b/>
                <w:bCs/>
              </w:rPr>
              <w:t>Typ ukazovateľa</w:t>
            </w:r>
          </w:p>
        </w:tc>
        <w:tc>
          <w:tcPr>
            <w:tcW w:w="0" w:type="auto"/>
            <w:vAlign w:val="center"/>
            <w:hideMark/>
          </w:tcPr>
          <w:p w:rsidR="00000000" w:rsidRDefault="00501E77">
            <w:pPr>
              <w:pStyle w:val="Normlnywebov"/>
            </w:pPr>
            <w:r>
              <w:t>Výstupový</w:t>
            </w:r>
          </w:p>
        </w:tc>
      </w:tr>
      <w:tr w:rsidR="00000000">
        <w:trPr>
          <w:divId w:val="20863020"/>
          <w:cantSplit/>
          <w:tblCellSpacing w:w="15" w:type="dxa"/>
        </w:trPr>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pPr>
            <w:r>
              <w:t>Priamy</w:t>
            </w:r>
          </w:p>
        </w:tc>
      </w:tr>
      <w:tr w:rsidR="00000000">
        <w:trPr>
          <w:divId w:val="20863020"/>
          <w:cantSplit/>
          <w:tblCellSpacing w:w="15" w:type="dxa"/>
        </w:trPr>
        <w:tc>
          <w:tcPr>
            <w:tcW w:w="0" w:type="auto"/>
            <w:vAlign w:val="center"/>
            <w:hideMark/>
          </w:tcPr>
          <w:p w:rsidR="00000000" w:rsidRDefault="00501E77">
            <w:pPr>
              <w:pStyle w:val="Normlnywebov"/>
              <w:jc w:val="center"/>
              <w:rPr>
                <w:b/>
                <w:bCs/>
              </w:rPr>
            </w:pPr>
            <w:r>
              <w:rPr>
                <w:b/>
                <w:bCs/>
              </w:rPr>
              <w:t>Zdôvodnenie</w:t>
            </w:r>
          </w:p>
        </w:tc>
        <w:tc>
          <w:tcPr>
            <w:tcW w:w="0" w:type="auto"/>
            <w:vAlign w:val="center"/>
            <w:hideMark/>
          </w:tcPr>
          <w:p w:rsidR="00000000" w:rsidRDefault="00501E77">
            <w:pPr>
              <w:pStyle w:val="Normlnywebov"/>
            </w:pPr>
            <w:r>
              <w:t>Projekt predpokladá zavedenie nových elektronických služieb pre znevýhodnené skupiny obyvateľstva a zároveň prostredníctvom zvyšovania digitálnych kompetencií nepriamo umožní aj zvýšenie využívania elektronických služieb štátu ako celku.</w:t>
            </w:r>
          </w:p>
        </w:tc>
      </w:tr>
      <w:tr w:rsidR="00000000">
        <w:trPr>
          <w:divId w:val="20863020"/>
          <w:cantSplit/>
          <w:tblCellSpacing w:w="15" w:type="dxa"/>
        </w:trPr>
        <w:tc>
          <w:tcPr>
            <w:tcW w:w="0" w:type="auto"/>
            <w:vAlign w:val="center"/>
            <w:hideMark/>
          </w:tcPr>
          <w:p w:rsidR="00000000" w:rsidRDefault="00501E77">
            <w:pPr>
              <w:pStyle w:val="Normlnywebov"/>
              <w:jc w:val="center"/>
              <w:rPr>
                <w:b/>
                <w:bCs/>
              </w:rPr>
            </w:pPr>
            <w:r>
              <w:rPr>
                <w:b/>
                <w:bCs/>
              </w:rPr>
              <w:t>Cieľová hodnota</w:t>
            </w:r>
          </w:p>
        </w:tc>
        <w:tc>
          <w:tcPr>
            <w:tcW w:w="0" w:type="auto"/>
            <w:vAlign w:val="center"/>
            <w:hideMark/>
          </w:tcPr>
          <w:p w:rsidR="00000000" w:rsidRDefault="00501E77">
            <w:pPr>
              <w:pStyle w:val="Normlnywebov"/>
            </w:pPr>
            <w:r>
              <w:t>4</w:t>
            </w:r>
            <w:r>
              <w:t xml:space="preserve"> koncové elektronické služby</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cantSplit/>
          <w:tblCellSpacing w:w="15" w:type="dxa"/>
        </w:trPr>
        <w:tc>
          <w:tcPr>
            <w:tcW w:w="0" w:type="auto"/>
            <w:vAlign w:val="center"/>
            <w:hideMark/>
          </w:tcPr>
          <w:p w:rsidR="00000000" w:rsidRDefault="00501E77">
            <w:pPr>
              <w:pStyle w:val="Normlnywebov"/>
              <w:jc w:val="center"/>
              <w:rPr>
                <w:b/>
                <w:bCs/>
              </w:rPr>
            </w:pPr>
            <w:r>
              <w:rPr>
                <w:b/>
                <w:bCs/>
              </w:rPr>
              <w:t>Ukazovateľ</w:t>
            </w:r>
          </w:p>
        </w:tc>
        <w:tc>
          <w:tcPr>
            <w:tcW w:w="0" w:type="auto"/>
            <w:vAlign w:val="center"/>
            <w:hideMark/>
          </w:tcPr>
          <w:p w:rsidR="00000000" w:rsidRDefault="00501E77">
            <w:pPr>
              <w:pStyle w:val="Normlnywebov"/>
            </w:pPr>
            <w:r>
              <w:t>Zvýšenie počtu znevýhodnených jednotlivcov benefitujúcich z používania nástrojov asistovaného života, alebo participácie na digitálnom trhu</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Typ ukazovateľa</w:t>
            </w:r>
          </w:p>
        </w:tc>
        <w:tc>
          <w:tcPr>
            <w:tcW w:w="0" w:type="auto"/>
            <w:vAlign w:val="center"/>
            <w:hideMark/>
          </w:tcPr>
          <w:p w:rsidR="00000000" w:rsidRDefault="00501E77">
            <w:pPr>
              <w:pStyle w:val="Normlnywebov"/>
            </w:pPr>
            <w:r>
              <w:t>Výstupový</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Príspevok projektu</w:t>
            </w:r>
          </w:p>
        </w:tc>
        <w:tc>
          <w:tcPr>
            <w:tcW w:w="0" w:type="auto"/>
            <w:vAlign w:val="center"/>
            <w:hideMark/>
          </w:tcPr>
          <w:p w:rsidR="00000000" w:rsidRDefault="00501E77">
            <w:pPr>
              <w:pStyle w:val="Normlnywebov"/>
            </w:pPr>
            <w:r>
              <w:t>nepriamy</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Zdôvodnenie</w:t>
            </w:r>
          </w:p>
        </w:tc>
        <w:tc>
          <w:tcPr>
            <w:tcW w:w="0" w:type="auto"/>
            <w:vAlign w:val="center"/>
            <w:hideMark/>
          </w:tcPr>
          <w:p w:rsidR="00000000" w:rsidRDefault="00501E77">
            <w:pPr>
              <w:pStyle w:val="Normlnywebov"/>
            </w:pPr>
            <w:r>
              <w:t>Vďaka možnosti realizácie samoohodnotenia (assessment) osoby, pozostávajúci zo vstupného testu a vydania príslušných certifikátov na základe ohodnotenia kompetencií získajú osoby v rámci cieľovej skupiny možnosť výraznejšie participovať v rámci digitálneho</w:t>
            </w:r>
            <w:r>
              <w:t xml:space="preserve"> trhu, a to ako z hľadiska preukázania, že disponujú príslušnými kompetenciami, tak aj z hľadiska toho, že napr. ich potenciálny zamestnávatelia budú vedieť jasne rozlišovať úrovne ovládania informatiky budúcich zamestnancov</w:t>
            </w:r>
          </w:p>
        </w:tc>
      </w:tr>
      <w:tr w:rsidR="00000000">
        <w:trPr>
          <w:cantSplit/>
          <w:tblCellSpacing w:w="15" w:type="dxa"/>
        </w:trPr>
        <w:tc>
          <w:tcPr>
            <w:tcW w:w="0" w:type="auto"/>
            <w:vAlign w:val="center"/>
            <w:hideMark/>
          </w:tcPr>
          <w:p w:rsidR="00000000" w:rsidRDefault="00501E77">
            <w:pPr>
              <w:pStyle w:val="Normlnywebov"/>
              <w:jc w:val="center"/>
              <w:rPr>
                <w:b/>
                <w:bCs/>
              </w:rPr>
            </w:pPr>
            <w:r>
              <w:rPr>
                <w:b/>
                <w:bCs/>
              </w:rPr>
              <w:t>Cieľová hodnota</w:t>
            </w:r>
          </w:p>
        </w:tc>
        <w:tc>
          <w:tcPr>
            <w:tcW w:w="0" w:type="auto"/>
            <w:vAlign w:val="center"/>
            <w:hideMark/>
          </w:tcPr>
          <w:p w:rsidR="00000000" w:rsidRDefault="00501E77">
            <w:pPr>
              <w:pStyle w:val="Normlnywebov"/>
            </w:pPr>
            <w:r>
              <w:t>Príspevok je n</w:t>
            </w:r>
            <w:r>
              <w:t>epriamy</w:t>
            </w:r>
          </w:p>
        </w:tc>
      </w:tr>
    </w:tbl>
    <w:p w:rsidR="00000000" w:rsidRDefault="00501E77">
      <w:pPr>
        <w:pStyle w:val="Normlnywebov"/>
      </w:pPr>
      <w:r>
        <w:t> </w:t>
      </w:r>
    </w:p>
    <w:p w:rsidR="00000000" w:rsidRDefault="00501E77">
      <w:pPr>
        <w:divId w:val="1546329947"/>
        <w:rPr>
          <w:rFonts w:eastAsia="Times New Roman"/>
        </w:rPr>
      </w:pPr>
      <w:r>
        <w:rPr>
          <w:rFonts w:eastAsia="Times New Roman"/>
        </w:rPr>
        <w:pict>
          <v:rect id="_x0000_i1025" style="width:0;height:1.5pt" o:hralign="center" o:hrstd="t" o:hr="t" fillcolor="#a0a0a0" stroked="f"/>
        </w:pict>
      </w:r>
    </w:p>
    <w:p w:rsidR="00000000" w:rsidRDefault="00501E77">
      <w:pPr>
        <w:pStyle w:val="Normlnywebov"/>
        <w:divId w:val="1577397507"/>
      </w:pPr>
      <w:hyperlink r:id="rId17" w:anchor="_ftnref1" w:tooltip="" w:history="1">
        <w:r>
          <w:rPr>
            <w:rStyle w:val="Hypertextovprepojenie"/>
          </w:rPr>
          <w:t>[1]</w:t>
        </w:r>
      </w:hyperlink>
      <w:r>
        <w:t> </w:t>
      </w:r>
      <w:hyperlink r:id="rId18" w:history="1">
        <w:r>
          <w:rPr>
            <w:rStyle w:val="Hypertextovprepojenie"/>
          </w:rPr>
          <w:t>http://www.siov.sk/Clanok.aspx?ArticleID=268</w:t>
        </w:r>
      </w:hyperlink>
      <w:r>
        <w:t> </w:t>
      </w:r>
    </w:p>
    <w:p w:rsidR="00000000" w:rsidRDefault="00501E77">
      <w:pPr>
        <w:pStyle w:val="Normlnywebov"/>
        <w:divId w:val="1577397507"/>
      </w:pPr>
      <w:hyperlink r:id="rId19" w:anchor="_ftnref1" w:tooltip="" w:history="1">
        <w:r>
          <w:rPr>
            <w:rStyle w:val="Hypertextovprepojenie"/>
          </w:rPr>
          <w:t>[2]</w:t>
        </w:r>
      </w:hyperlink>
      <w:r>
        <w:t> </w:t>
      </w:r>
      <w:hyperlink r:id="rId20" w:history="1">
        <w:r>
          <w:rPr>
            <w:rStyle w:val="Hypertextovprepojenie"/>
          </w:rPr>
          <w:t>www.digital-agenda-data.eu</w:t>
        </w:r>
      </w:hyperlink>
      <w:r>
        <w:t> </w:t>
      </w:r>
    </w:p>
    <w:p w:rsidR="00000000" w:rsidRDefault="00501E77">
      <w:pPr>
        <w:pStyle w:val="Normlnywebov"/>
        <w:divId w:val="1577397507"/>
      </w:pPr>
      <w:hyperlink r:id="rId21" w:anchor="_ftnref1" w:tooltip="" w:history="1">
        <w:r>
          <w:rPr>
            <w:rStyle w:val="Hypertextovprepojenie"/>
          </w:rPr>
          <w:t>[3]</w:t>
        </w:r>
      </w:hyperlink>
      <w:r>
        <w:t> </w:t>
      </w:r>
      <w:hyperlink r:id="rId22" w:history="1">
        <w:r>
          <w:rPr>
            <w:rStyle w:val="Hypertextovprepojenie"/>
          </w:rPr>
          <w:t>https://www.upsvr.gov.sk/buxus/docs/statistic/aotp_2017/Vyhodnotenie_AOTP_2017.pdf</w:t>
        </w:r>
      </w:hyperlink>
    </w:p>
    <w:p w:rsidR="00000000" w:rsidRDefault="00501E77">
      <w:pPr>
        <w:pStyle w:val="Normlnywebov"/>
        <w:divId w:val="1577397507"/>
      </w:pPr>
      <w:hyperlink r:id="rId23" w:anchor="_ftnref1" w:tooltip="" w:history="1">
        <w:r>
          <w:rPr>
            <w:rStyle w:val="Hypertextovprepojenie"/>
          </w:rPr>
          <w:t>[4]</w:t>
        </w:r>
      </w:hyperlink>
      <w:r>
        <w:t xml:space="preserve"> </w:t>
      </w:r>
      <w:hyperlink r:id="rId24" w:history="1">
        <w:r>
          <w:rPr>
            <w:rStyle w:val="Hypertextovprepojenie"/>
          </w:rPr>
          <w:t>http://pmb.cereq.fr/doc_num.php?explnum_id=4268</w:t>
        </w:r>
      </w:hyperlink>
    </w:p>
    <w:p w:rsidR="00000000" w:rsidRDefault="00501E77">
      <w:pPr>
        <w:pStyle w:val="Normlnywebov"/>
        <w:divId w:val="1577397507"/>
      </w:pPr>
      <w:hyperlink r:id="rId25" w:anchor="_ftnref1" w:tooltip="" w:history="1">
        <w:r>
          <w:rPr>
            <w:rStyle w:val="Hypertextovprepojenie"/>
          </w:rPr>
          <w:t>[5]</w:t>
        </w:r>
      </w:hyperlink>
      <w:r>
        <w:t> </w:t>
      </w:r>
      <w:hyperlink r:id="rId26" w:history="1">
        <w:r>
          <w:rPr>
            <w:rStyle w:val="Hypertextovprepojenie"/>
          </w:rPr>
          <w:t>http://www.statpedu.sk/files/sk/publikacna-c</w:t>
        </w:r>
        <w:r>
          <w:rPr>
            <w:rStyle w:val="Hypertextovprepojenie"/>
          </w:rPr>
          <w:t>innost/publikacie/incheonska-deklaracia_vzdelavanie-2030.pdf</w:t>
        </w:r>
      </w:hyperlink>
    </w:p>
    <w:p w:rsidR="00000000" w:rsidRDefault="00501E77">
      <w:pPr>
        <w:pStyle w:val="Normlnywebov"/>
        <w:divId w:val="1577397507"/>
      </w:pPr>
      <w:hyperlink r:id="rId27" w:anchor="_ftnref1" w:tooltip="" w:history="1">
        <w:r>
          <w:rPr>
            <w:rStyle w:val="Hypertextovprepojenie"/>
          </w:rPr>
          <w:t>[</w:t>
        </w:r>
      </w:hyperlink>
      <w:r>
        <w:t>6</w:t>
      </w:r>
      <w:hyperlink r:id="rId28" w:anchor="_ftnref1" w:tooltip="" w:history="1">
        <w:r>
          <w:rPr>
            <w:rStyle w:val="Hypertextovprepojenie"/>
          </w:rPr>
          <w:t>]</w:t>
        </w:r>
      </w:hyperlink>
      <w:hyperlink r:id="rId29" w:history="1">
        <w:r>
          <w:rPr>
            <w:rStyle w:val="Hypertextovprepojenie"/>
          </w:rPr>
          <w:t> </w:t>
        </w:r>
      </w:hyperlink>
      <w:r>
        <w:rPr>
          <w:color w:val="3572B0"/>
          <w:u w:val="single"/>
        </w:rPr>
        <w:t>https://eur-lex.europa.eu/legal-content/SK/TXT/PDF/?uri=CELEX:32018H0604(01)&amp;from=EN</w:t>
      </w:r>
    </w:p>
    <w:p w:rsidR="00000000" w:rsidRDefault="00501E77">
      <w:pPr>
        <w:pStyle w:val="Normlnywebov"/>
        <w:divId w:val="1968662588"/>
      </w:pPr>
      <w:hyperlink r:id="rId30" w:anchor="_ftnref1" w:tooltip="" w:history="1">
        <w:r>
          <w:rPr>
            <w:rStyle w:val="Hypertextovprepojenie"/>
          </w:rPr>
          <w:t>[7]</w:t>
        </w:r>
      </w:hyperlink>
      <w:r>
        <w:t> </w:t>
      </w:r>
      <w:hyperlink r:id="rId31" w:history="1">
        <w:r>
          <w:rPr>
            <w:rStyle w:val="Hypertextovprepojenie"/>
          </w:rPr>
          <w:t>https://ec.europa.eu/social/main.jsp?catId=1223</w:t>
        </w:r>
      </w:hyperlink>
      <w:r>
        <w:rPr>
          <w:vertAlign w:val="superscript"/>
        </w:rPr>
        <w:t> </w:t>
      </w:r>
      <w:r>
        <w:t>  </w:t>
      </w:r>
    </w:p>
    <w:p w:rsidR="00000000" w:rsidRDefault="00501E77">
      <w:pPr>
        <w:pStyle w:val="Normlnywebov"/>
        <w:divId w:val="1812283870"/>
      </w:pPr>
      <w:hyperlink r:id="rId32" w:anchor="_ftnref2" w:tooltip="" w:history="1">
        <w:r>
          <w:rPr>
            <w:rStyle w:val="Hypertextovprepojenie"/>
          </w:rPr>
          <w:t>[8]</w:t>
        </w:r>
      </w:hyperlink>
      <w:r>
        <w:t xml:space="preserve"> </w:t>
      </w:r>
      <w:hyperlink r:id="rId33" w:history="1">
        <w:r>
          <w:rPr>
            <w:rStyle w:val="Hypertextovprepojenie"/>
          </w:rPr>
          <w:t>https://www.opii.gov.sk/strategicke-dokumenty/op-integrovana-infrastruktura</w:t>
        </w:r>
      </w:hyperlink>
      <w:r>
        <w:t>; Operačný program Integrovaná infraštruktúra 2014 – 2020, str. 94 poznámka číslo 40.</w:t>
      </w:r>
    </w:p>
    <w:p w:rsidR="00000000" w:rsidRDefault="00501E77">
      <w:pPr>
        <w:pStyle w:val="Normlnywebov"/>
        <w:divId w:val="1812283870"/>
      </w:pPr>
      <w:hyperlink r:id="rId34" w:anchor="_ftnref2" w:tooltip="" w:history="1">
        <w:r>
          <w:rPr>
            <w:rStyle w:val="Hypertextovprepojenie"/>
          </w:rPr>
          <w:t>[9]</w:t>
        </w:r>
      </w:hyperlink>
      <w:r>
        <w:t> </w:t>
      </w:r>
      <w:hyperlink r:id="rId35" w:history="1">
        <w:r>
          <w:rPr>
            <w:rStyle w:val="Hypertextovprepojenie"/>
          </w:rPr>
          <w:t>http://www.infostat.sk/vdc/sk/in</w:t>
        </w:r>
        <w:r>
          <w:rPr>
            <w:rStyle w:val="Hypertextovprepojenie"/>
          </w:rPr>
          <w:t>dex.php?option=com_wrapper&amp;view=wrapper&amp;Itemid=60</w:t>
        </w:r>
      </w:hyperlink>
    </w:p>
    <w:p w:rsidR="00000000" w:rsidRDefault="00501E77">
      <w:pPr>
        <w:pStyle w:val="Normlnywebov"/>
        <w:divId w:val="1812283870"/>
      </w:pPr>
      <w:r>
        <w:t> </w:t>
      </w:r>
    </w:p>
    <w:p w:rsidR="00000000" w:rsidRDefault="00501E77">
      <w:pPr>
        <w:pStyle w:val="Normlnywebov"/>
      </w:pPr>
      <w:r>
        <w:t>Rozsah</w:t>
      </w:r>
    </w:p>
    <w:p w:rsidR="00000000" w:rsidRDefault="00501E77">
      <w:pPr>
        <w:pStyle w:val="Normlnywebov"/>
      </w:pPr>
      <w:r>
        <w:rPr>
          <w:rStyle w:val="Zvraznenie"/>
        </w:rPr>
        <w:t>Rozsah oblastí, v ktorom sa štúdia venuje projektu, do akej hĺbky sa venuje jednotlivým oblastiam.</w:t>
      </w:r>
    </w:p>
    <w:p w:rsidR="00000000" w:rsidRDefault="00501E77">
      <w:pPr>
        <w:pStyle w:val="Normlnywebov"/>
      </w:pPr>
      <w:r>
        <w:t>Štúdia uskutočniteľnosti predstavuje a posudzuje šesť možných alternatív zabezpečenia podporných a</w:t>
      </w:r>
      <w:r>
        <w:t> administratívnych činností subjektov štátnej správy:</w:t>
      </w:r>
    </w:p>
    <w:p w:rsidR="00000000" w:rsidRDefault="00501E77">
      <w:pPr>
        <w:numPr>
          <w:ilvl w:val="0"/>
          <w:numId w:val="14"/>
        </w:numPr>
        <w:spacing w:before="100" w:beforeAutospacing="1" w:after="100" w:afterAutospacing="1"/>
        <w:ind w:left="1440"/>
        <w:rPr>
          <w:rFonts w:eastAsia="Times New Roman"/>
        </w:rPr>
      </w:pPr>
    </w:p>
    <w:p w:rsidR="00000000" w:rsidRDefault="00501E77">
      <w:pPr>
        <w:numPr>
          <w:ilvl w:val="1"/>
          <w:numId w:val="14"/>
        </w:numPr>
        <w:spacing w:before="100" w:beforeAutospacing="1" w:after="100" w:afterAutospacing="1"/>
        <w:rPr>
          <w:rFonts w:eastAsia="Times New Roman"/>
        </w:rPr>
      </w:pPr>
      <w:r>
        <w:rPr>
          <w:rFonts w:eastAsia="Times New Roman"/>
        </w:rPr>
        <w:t>Alternatíva A: Zachovanie súčasného stavu,</w:t>
      </w:r>
    </w:p>
    <w:p w:rsidR="00000000" w:rsidRDefault="00501E77">
      <w:pPr>
        <w:numPr>
          <w:ilvl w:val="1"/>
          <w:numId w:val="14"/>
        </w:numPr>
        <w:spacing w:before="100" w:beforeAutospacing="1" w:after="100" w:afterAutospacing="1"/>
        <w:rPr>
          <w:rFonts w:eastAsia="Times New Roman"/>
        </w:rPr>
      </w:pPr>
      <w:r>
        <w:rPr>
          <w:rFonts w:eastAsia="Times New Roman"/>
        </w:rPr>
        <w:t>Alternatíva B: Rozšírenie existujúceho vzdelávacieho a certifikačného rámca,</w:t>
      </w:r>
    </w:p>
    <w:p w:rsidR="00000000" w:rsidRDefault="00501E77">
      <w:pPr>
        <w:numPr>
          <w:ilvl w:val="1"/>
          <w:numId w:val="14"/>
        </w:numPr>
        <w:spacing w:before="100" w:beforeAutospacing="1" w:after="100" w:afterAutospacing="1"/>
        <w:rPr>
          <w:rFonts w:eastAsia="Times New Roman"/>
        </w:rPr>
      </w:pPr>
      <w:r>
        <w:rPr>
          <w:rFonts w:eastAsia="Times New Roman"/>
        </w:rPr>
        <w:t>Alternatíva C: Systém pre certifikáciu digitálnych kompetencií,</w:t>
      </w:r>
    </w:p>
    <w:p w:rsidR="00000000" w:rsidRDefault="00501E77">
      <w:pPr>
        <w:numPr>
          <w:ilvl w:val="1"/>
          <w:numId w:val="14"/>
        </w:numPr>
        <w:spacing w:before="100" w:beforeAutospacing="1" w:after="100" w:afterAutospacing="1"/>
        <w:rPr>
          <w:rFonts w:eastAsia="Times New Roman"/>
        </w:rPr>
      </w:pPr>
      <w:r>
        <w:rPr>
          <w:rFonts w:eastAsia="Times New Roman"/>
        </w:rPr>
        <w:t>Alternatíva D: Systém pre certifikáciu a rozvoj digitálnych kompetencií,</w:t>
      </w:r>
    </w:p>
    <w:p w:rsidR="00000000" w:rsidRDefault="00501E77">
      <w:pPr>
        <w:numPr>
          <w:ilvl w:val="1"/>
          <w:numId w:val="14"/>
        </w:numPr>
        <w:spacing w:before="100" w:beforeAutospacing="1" w:after="100" w:afterAutospacing="1"/>
        <w:rPr>
          <w:rFonts w:eastAsia="Times New Roman"/>
        </w:rPr>
      </w:pPr>
      <w:r>
        <w:rPr>
          <w:rFonts w:eastAsia="Times New Roman"/>
        </w:rPr>
        <w:t>Alternatíva E: Systém centrálnej certifikácie úrovní digitálnych kompetencií.</w:t>
      </w:r>
    </w:p>
    <w:p w:rsidR="00000000" w:rsidRDefault="00501E77">
      <w:pPr>
        <w:numPr>
          <w:ilvl w:val="1"/>
          <w:numId w:val="14"/>
        </w:numPr>
        <w:spacing w:before="100" w:beforeAutospacing="1" w:after="100" w:afterAutospacing="1"/>
        <w:rPr>
          <w:rFonts w:eastAsia="Times New Roman"/>
        </w:rPr>
      </w:pPr>
      <w:r>
        <w:rPr>
          <w:rFonts w:eastAsia="Times New Roman"/>
        </w:rPr>
        <w:t>Alternatíva F: Minimalistický variant systému certifikácie úrovní digitálnych kompetencií.</w:t>
      </w:r>
    </w:p>
    <w:p w:rsidR="00000000" w:rsidRDefault="00501E77">
      <w:pPr>
        <w:pStyle w:val="Normlnywebov"/>
      </w:pPr>
      <w:r>
        <w:t>Alternatívy C,</w:t>
      </w:r>
      <w:r>
        <w:t xml:space="preserve"> D a E na rozdiel od alternatív A a B komplexne pokrývajú problematiku certifikácie úrovní digitálnych kompetencií znevýhodnených jednotlivcov, čím zvyšujú ich atraktivitu na dynamickom trhu práce a  znižujú dopad ich exklúzie v každodennom živote. </w:t>
      </w:r>
    </w:p>
    <w:p w:rsidR="00000000" w:rsidRDefault="00501E77">
      <w:pPr>
        <w:pStyle w:val="Normlnywebov"/>
      </w:pPr>
      <w:r>
        <w:rPr>
          <w:noProof/>
        </w:rPr>
        <w:drawing>
          <wp:inline distT="0" distB="0" distL="0" distR="0">
            <wp:extent cx="4457700" cy="3048000"/>
            <wp:effectExtent l="0" t="0" r="0" b="0"/>
            <wp:docPr id="3" name="Obrázok 3" descr="C:\40c410086136e25f2eab14b9b77b0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40c410086136e25f2eab14b9b77b0b6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048000"/>
                    </a:xfrm>
                    <a:prstGeom prst="rect">
                      <a:avLst/>
                    </a:prstGeom>
                    <a:noFill/>
                    <a:ln>
                      <a:noFill/>
                    </a:ln>
                  </pic:spPr>
                </pic:pic>
              </a:graphicData>
            </a:graphic>
          </wp:inline>
        </w:drawing>
      </w:r>
    </w:p>
    <w:p w:rsidR="00000000" w:rsidRDefault="00501E77">
      <w:pPr>
        <w:pStyle w:val="Normlnywebov"/>
      </w:pPr>
      <w:r>
        <w:t>Obrázok 1: Obsah alternatív D, C , E a F</w:t>
      </w:r>
    </w:p>
    <w:p w:rsidR="00000000" w:rsidRDefault="00501E77">
      <w:pPr>
        <w:pStyle w:val="Normlnywebov"/>
      </w:pPr>
      <w:r>
        <w:t> </w:t>
      </w:r>
    </w:p>
    <w:p w:rsidR="00000000" w:rsidRDefault="00501E77">
      <w:pPr>
        <w:pStyle w:val="Normlnywebov"/>
      </w:pPr>
      <w:r>
        <w:t>Alternatíva F je minimalistickým riešením k zavedeniu centrálnej cert</w:t>
      </w:r>
      <w:r>
        <w:t>ifikácie úrovní digitálnych kompetencií  a je rozšíriteľná na rozsah alternatív E, C a D. Na základe multikriteriálnej analýzy a porovnaní CBA alternatíva E je najvhodnejšou voľbou.</w:t>
      </w:r>
    </w:p>
    <w:p w:rsidR="00000000" w:rsidRDefault="00501E77">
      <w:pPr>
        <w:pStyle w:val="Normlnywebov"/>
      </w:pPr>
      <w:r>
        <w:t> </w:t>
      </w:r>
      <w:r>
        <w:rPr>
          <w:rStyle w:val="inline-comment-marker"/>
        </w:rPr>
        <w:t>Aktéro</w:t>
      </w:r>
      <w:r>
        <w:rPr>
          <w:rStyle w:val="inline-comment-marker"/>
        </w:rPr>
        <w:t>v</w:t>
      </w:r>
      <w:r>
        <w:t xml:space="preserve"> Alternatívy E uvádza nasledujúca tabuľka: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gridCol w:w="480"/>
      </w:tblGrid>
      <w:tr w:rsidR="00000000">
        <w:trPr>
          <w:divId w:val="953636054"/>
          <w:tblCellSpacing w:w="15" w:type="dxa"/>
        </w:trPr>
        <w:tc>
          <w:tcPr>
            <w:tcW w:w="0" w:type="auto"/>
            <w:vAlign w:val="center"/>
            <w:hideMark/>
          </w:tcPr>
          <w:p w:rsidR="00000000" w:rsidRDefault="00501E77">
            <w:pPr>
              <w:pStyle w:val="Normlnywebov"/>
              <w:jc w:val="center"/>
              <w:rPr>
                <w:b/>
                <w:bCs/>
              </w:rPr>
            </w:pPr>
            <w:r>
              <w:rPr>
                <w:rStyle w:val="Siln"/>
              </w:rPr>
              <w:t>Aktér</w:t>
            </w:r>
          </w:p>
        </w:tc>
        <w:tc>
          <w:tcPr>
            <w:tcW w:w="0" w:type="auto"/>
            <w:vAlign w:val="center"/>
            <w:hideMark/>
          </w:tcPr>
          <w:p w:rsidR="00000000" w:rsidRDefault="00501E77">
            <w:pPr>
              <w:pStyle w:val="Normlnywebov"/>
              <w:jc w:val="center"/>
              <w:rPr>
                <w:b/>
                <w:bCs/>
              </w:rPr>
            </w:pPr>
            <w:r>
              <w:rPr>
                <w:rStyle w:val="Siln"/>
              </w:rPr>
              <w:t>Rola</w:t>
            </w:r>
          </w:p>
        </w:tc>
        <w:tc>
          <w:tcPr>
            <w:tcW w:w="0" w:type="auto"/>
            <w:vAlign w:val="center"/>
            <w:hideMark/>
          </w:tcPr>
          <w:p w:rsidR="00000000" w:rsidRDefault="00501E77">
            <w:pPr>
              <w:pStyle w:val="Normlnywebov"/>
              <w:jc w:val="center"/>
              <w:rPr>
                <w:b/>
                <w:bCs/>
              </w:rPr>
            </w:pPr>
            <w:r>
              <w:rPr>
                <w:rStyle w:val="Siln"/>
              </w:rPr>
              <w:t>Informačný s</w:t>
            </w:r>
            <w:r>
              <w:rPr>
                <w:rStyle w:val="Siln"/>
              </w:rPr>
              <w:t>ystém VS</w:t>
            </w:r>
          </w:p>
        </w:tc>
      </w:tr>
      <w:tr w:rsidR="00000000">
        <w:trPr>
          <w:divId w:val="953636054"/>
          <w:cantSplit/>
          <w:tblCellSpacing w:w="15" w:type="dxa"/>
        </w:trPr>
        <w:tc>
          <w:tcPr>
            <w:tcW w:w="0" w:type="auto"/>
            <w:vAlign w:val="center"/>
            <w:hideMark/>
          </w:tcPr>
          <w:p w:rsidR="00000000" w:rsidRDefault="00501E77">
            <w:pPr>
              <w:pStyle w:val="Normlnywebov"/>
            </w:pPr>
            <w:r>
              <w:t>ÚPPVII</w:t>
            </w:r>
          </w:p>
        </w:tc>
        <w:tc>
          <w:tcPr>
            <w:tcW w:w="0" w:type="auto"/>
            <w:vAlign w:val="center"/>
            <w:hideMark/>
          </w:tcPr>
          <w:p w:rsidR="00000000" w:rsidRDefault="00501E77">
            <w:pPr>
              <w:pStyle w:val="Normlnywebov"/>
            </w:pPr>
            <w:r>
              <w:t>Poskytovateľ služieb centrálnej platformy pre certifikáciu</w:t>
            </w:r>
          </w:p>
        </w:tc>
        <w:tc>
          <w:tcPr>
            <w:tcW w:w="0" w:type="auto"/>
            <w:vAlign w:val="center"/>
            <w:hideMark/>
          </w:tcPr>
          <w:p w:rsidR="00000000" w:rsidRDefault="00501E77">
            <w:pPr>
              <w:pStyle w:val="Normlnywebov"/>
            </w:pPr>
            <w:r>
              <w:t>IS_DEI</w:t>
            </w:r>
          </w:p>
        </w:tc>
      </w:tr>
      <w:tr w:rsidR="00000000">
        <w:trPr>
          <w:divId w:val="953636054"/>
          <w:cantSplit/>
          <w:tblCellSpacing w:w="15" w:type="dxa"/>
        </w:trPr>
        <w:tc>
          <w:tcPr>
            <w:tcW w:w="0" w:type="auto"/>
            <w:vAlign w:val="center"/>
            <w:hideMark/>
          </w:tcPr>
          <w:p w:rsidR="00000000" w:rsidRDefault="00501E77">
            <w:pPr>
              <w:pStyle w:val="Normlnywebov"/>
            </w:pPr>
            <w:r>
              <w:t>Občan</w:t>
            </w:r>
          </w:p>
        </w:tc>
        <w:tc>
          <w:tcPr>
            <w:tcW w:w="0" w:type="auto"/>
            <w:vAlign w:val="center"/>
            <w:hideMark/>
          </w:tcPr>
          <w:p w:rsidR="00000000" w:rsidRDefault="00501E77">
            <w:pPr>
              <w:pStyle w:val="Normlnywebov"/>
            </w:pPr>
            <w:r>
              <w:t>Certifikovaný jednotlivec</w:t>
            </w:r>
          </w:p>
        </w:tc>
        <w:tc>
          <w:tcPr>
            <w:tcW w:w="0" w:type="auto"/>
            <w:vAlign w:val="center"/>
            <w:hideMark/>
          </w:tcPr>
          <w:p w:rsidR="00000000" w:rsidRDefault="00501E77">
            <w:pPr>
              <w:pStyle w:val="Normlnywebov"/>
            </w:pPr>
            <w:r>
              <w:t>Nerelevantné</w:t>
            </w:r>
          </w:p>
        </w:tc>
      </w:tr>
      <w:tr w:rsidR="00000000">
        <w:trPr>
          <w:divId w:val="953636054"/>
          <w:cantSplit/>
          <w:tblCellSpacing w:w="15" w:type="dxa"/>
        </w:trPr>
        <w:tc>
          <w:tcPr>
            <w:tcW w:w="0" w:type="auto"/>
            <w:vAlign w:val="center"/>
            <w:hideMark/>
          </w:tcPr>
          <w:p w:rsidR="00000000" w:rsidRDefault="00501E77">
            <w:pPr>
              <w:pStyle w:val="Normlnywebov"/>
            </w:pPr>
            <w:r>
              <w:t>Akreditovaný certifikačný partner</w:t>
            </w:r>
          </w:p>
        </w:tc>
        <w:tc>
          <w:tcPr>
            <w:tcW w:w="0" w:type="auto"/>
            <w:vAlign w:val="center"/>
            <w:hideMark/>
          </w:tcPr>
          <w:p w:rsidR="00000000" w:rsidRDefault="00501E77">
            <w:pPr>
              <w:pStyle w:val="Normlnywebov"/>
            </w:pPr>
            <w:r>
              <w:t>Umožňovateľ prístupu k certifikácii prostredníctvom centrálnej platformy</w:t>
            </w:r>
          </w:p>
        </w:tc>
        <w:tc>
          <w:tcPr>
            <w:tcW w:w="0" w:type="auto"/>
            <w:vAlign w:val="center"/>
            <w:hideMark/>
          </w:tcPr>
          <w:p w:rsidR="00000000" w:rsidRDefault="00501E77">
            <w:pPr>
              <w:pStyle w:val="Normlnywebov"/>
            </w:pPr>
            <w:r>
              <w:t>Nerelevantné</w:t>
            </w:r>
          </w:p>
        </w:tc>
      </w:tr>
      <w:tr w:rsidR="00000000">
        <w:trPr>
          <w:divId w:val="953636054"/>
          <w:cantSplit/>
          <w:tblCellSpacing w:w="15" w:type="dxa"/>
        </w:trPr>
        <w:tc>
          <w:tcPr>
            <w:tcW w:w="0" w:type="auto"/>
            <w:vAlign w:val="center"/>
            <w:hideMark/>
          </w:tcPr>
          <w:p w:rsidR="00000000" w:rsidRDefault="00501E77">
            <w:pPr>
              <w:rPr>
                <w:rFonts w:eastAsia="Times New Roman"/>
              </w:rPr>
            </w:pPr>
            <w:r>
              <w:rPr>
                <w:rFonts w:eastAsia="Times New Roman"/>
              </w:rPr>
              <w:t>CMPP</w:t>
            </w:r>
          </w:p>
        </w:tc>
        <w:tc>
          <w:tcPr>
            <w:tcW w:w="0" w:type="auto"/>
            <w:vAlign w:val="center"/>
            <w:hideMark/>
          </w:tcPr>
          <w:p w:rsidR="00000000" w:rsidRDefault="00501E77">
            <w:pPr>
              <w:rPr>
                <w:rFonts w:eastAsia="Times New Roman"/>
              </w:rPr>
            </w:pPr>
            <w:r>
              <w:rPr>
                <w:rFonts w:eastAsia="Times New Roman"/>
              </w:rPr>
              <w:t>Centrálna autorita pre certifikácie, nábor a akreditácia potenciálnych akreditovaných certifikačných partnerov z radov komerčných subjektov</w:t>
            </w:r>
          </w:p>
        </w:tc>
        <w:tc>
          <w:tcPr>
            <w:tcW w:w="0" w:type="auto"/>
            <w:vAlign w:val="center"/>
            <w:hideMark/>
          </w:tcPr>
          <w:p w:rsidR="00000000" w:rsidRDefault="00501E77">
            <w:pPr>
              <w:rPr>
                <w:rFonts w:eastAsia="Times New Roman"/>
              </w:rPr>
            </w:pPr>
            <w:r>
              <w:rPr>
                <w:rFonts w:eastAsia="Times New Roman"/>
              </w:rPr>
              <w:t>IS DEI</w:t>
            </w:r>
          </w:p>
        </w:tc>
      </w:tr>
      <w:tr w:rsidR="00000000">
        <w:trPr>
          <w:divId w:val="953636054"/>
          <w:cantSplit/>
          <w:tblCellSpacing w:w="15" w:type="dxa"/>
        </w:trPr>
        <w:tc>
          <w:tcPr>
            <w:tcW w:w="0" w:type="auto"/>
            <w:vAlign w:val="center"/>
            <w:hideMark/>
          </w:tcPr>
          <w:p w:rsidR="00000000" w:rsidRDefault="00501E77">
            <w:pPr>
              <w:rPr>
                <w:rFonts w:eastAsia="Times New Roman"/>
              </w:rPr>
            </w:pPr>
            <w:r>
              <w:rPr>
                <w:rFonts w:eastAsia="Times New Roman"/>
              </w:rPr>
              <w:t>Externé organizácie</w:t>
            </w:r>
          </w:p>
        </w:tc>
        <w:tc>
          <w:tcPr>
            <w:tcW w:w="0" w:type="auto"/>
            <w:vAlign w:val="center"/>
            <w:hideMark/>
          </w:tcPr>
          <w:p w:rsidR="00000000" w:rsidRDefault="00501E77">
            <w:pPr>
              <w:rPr>
                <w:rFonts w:eastAsia="Times New Roman"/>
              </w:rPr>
            </w:pPr>
            <w:r>
              <w:rPr>
                <w:rFonts w:eastAsia="Times New Roman"/>
              </w:rPr>
              <w:t>Konzument služieb centrálneho komponentu pre certifikáciu</w:t>
            </w:r>
          </w:p>
        </w:tc>
        <w:tc>
          <w:tcPr>
            <w:tcW w:w="0" w:type="auto"/>
            <w:vAlign w:val="center"/>
            <w:hideMark/>
          </w:tcPr>
          <w:p w:rsidR="00000000" w:rsidRDefault="00501E77">
            <w:pPr>
              <w:rPr>
                <w:rFonts w:eastAsia="Times New Roman"/>
              </w:rPr>
            </w:pPr>
            <w:r>
              <w:rPr>
                <w:rFonts w:eastAsia="Times New Roman"/>
              </w:rPr>
              <w:t>IS DEI</w:t>
            </w:r>
          </w:p>
        </w:tc>
      </w:tr>
    </w:tbl>
    <w:p w:rsidR="00000000" w:rsidRDefault="00501E77">
      <w:pPr>
        <w:pStyle w:val="Normlnywebov"/>
      </w:pPr>
      <w:r>
        <w:rPr>
          <w:rStyle w:val="Siln"/>
        </w:rPr>
        <w:t>Okrem vyššie uvedených aktérov pre úspešnosť projektu je potrebná súčinnosť aj s ďalšími tzv. aktérmi pre súčinnosť, ktorých uvádzame v nasledujúcej tabuľke: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814447589"/>
          <w:tblCellSpacing w:w="15" w:type="dxa"/>
        </w:trPr>
        <w:tc>
          <w:tcPr>
            <w:tcW w:w="0" w:type="auto"/>
            <w:vAlign w:val="center"/>
            <w:hideMark/>
          </w:tcPr>
          <w:p w:rsidR="00000000" w:rsidRDefault="00501E77">
            <w:pPr>
              <w:jc w:val="center"/>
              <w:rPr>
                <w:rFonts w:eastAsia="Times New Roman"/>
                <w:b/>
                <w:bCs/>
              </w:rPr>
            </w:pPr>
            <w:r>
              <w:rPr>
                <w:rStyle w:val="Siln"/>
                <w:rFonts w:eastAsia="Times New Roman"/>
              </w:rPr>
              <w:t>Aktér pre súčinnosť</w:t>
            </w:r>
          </w:p>
        </w:tc>
        <w:tc>
          <w:tcPr>
            <w:tcW w:w="0" w:type="auto"/>
            <w:vAlign w:val="center"/>
            <w:hideMark/>
          </w:tcPr>
          <w:p w:rsidR="00000000" w:rsidRDefault="00501E77">
            <w:pPr>
              <w:jc w:val="center"/>
              <w:rPr>
                <w:rFonts w:eastAsia="Times New Roman"/>
                <w:b/>
                <w:bCs/>
              </w:rPr>
            </w:pPr>
            <w:r>
              <w:rPr>
                <w:rStyle w:val="Siln"/>
                <w:rFonts w:eastAsia="Times New Roman"/>
              </w:rPr>
              <w:t>Očakávané aktivity</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ŠIOV</w:t>
            </w:r>
          </w:p>
        </w:tc>
        <w:tc>
          <w:tcPr>
            <w:tcW w:w="0" w:type="auto"/>
            <w:vAlign w:val="center"/>
            <w:hideMark/>
          </w:tcPr>
          <w:p w:rsidR="00000000" w:rsidRDefault="00501E77">
            <w:pPr>
              <w:rPr>
                <w:rFonts w:eastAsia="Times New Roman"/>
              </w:rPr>
            </w:pPr>
            <w:r>
              <w:rPr>
                <w:rFonts w:eastAsia="Times New Roman"/>
              </w:rPr>
              <w:t>vytvorenie rámcov, štandardov, konštruktov, doplnenie národnej sústavy povolaní, národnej sústavy kvalifikácií, naplnenie aktivít v projekte OPĽZ</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MŠVVaŠ SR</w:t>
            </w:r>
          </w:p>
        </w:tc>
        <w:tc>
          <w:tcPr>
            <w:tcW w:w="0" w:type="auto"/>
            <w:vAlign w:val="center"/>
            <w:hideMark/>
          </w:tcPr>
          <w:p w:rsidR="00000000" w:rsidRDefault="00501E77">
            <w:pPr>
              <w:rPr>
                <w:rFonts w:eastAsia="Times New Roman"/>
              </w:rPr>
            </w:pPr>
            <w:r>
              <w:rPr>
                <w:rFonts w:eastAsia="Times New Roman"/>
              </w:rPr>
              <w:t>gestor procesu prípravyna certifikáciu</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MPSVaR </w:t>
            </w:r>
          </w:p>
        </w:tc>
        <w:tc>
          <w:tcPr>
            <w:tcW w:w="0" w:type="auto"/>
            <w:vAlign w:val="center"/>
            <w:hideMark/>
          </w:tcPr>
          <w:p w:rsidR="00000000" w:rsidRDefault="00501E77">
            <w:pPr>
              <w:rPr>
                <w:rFonts w:eastAsia="Times New Roman"/>
              </w:rPr>
            </w:pPr>
            <w:r>
              <w:rPr>
                <w:rFonts w:eastAsia="Times New Roman"/>
              </w:rPr>
              <w:t>komunikácia so znevýhodenými osobami, SORO pre OPĽZ</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UPSVaR</w:t>
            </w:r>
          </w:p>
        </w:tc>
        <w:tc>
          <w:tcPr>
            <w:tcW w:w="0" w:type="auto"/>
            <w:vAlign w:val="center"/>
            <w:hideMark/>
          </w:tcPr>
          <w:p w:rsidR="00000000" w:rsidRDefault="00501E77">
            <w:pPr>
              <w:rPr>
                <w:rFonts w:eastAsia="Times New Roman"/>
              </w:rPr>
            </w:pPr>
            <w:r>
              <w:rPr>
                <w:rFonts w:eastAsia="Times New Roman"/>
              </w:rPr>
              <w:t>proaktívna komunikácia s uchádzačmi o zamestnanie</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RÚZ</w:t>
            </w:r>
          </w:p>
        </w:tc>
        <w:tc>
          <w:tcPr>
            <w:tcW w:w="0" w:type="auto"/>
            <w:vAlign w:val="center"/>
            <w:hideMark/>
          </w:tcPr>
          <w:p w:rsidR="00000000" w:rsidRDefault="00501E77">
            <w:pPr>
              <w:rPr>
                <w:rFonts w:eastAsia="Times New Roman"/>
              </w:rPr>
            </w:pPr>
            <w:r>
              <w:rPr>
                <w:rFonts w:eastAsia="Times New Roman"/>
              </w:rPr>
              <w:t>komunikácia na zamestnávateľov, osveta, naplnenie aktivít v projekte OPĽZ</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Digitálna koalícia</w:t>
            </w:r>
          </w:p>
        </w:tc>
        <w:tc>
          <w:tcPr>
            <w:tcW w:w="0" w:type="auto"/>
            <w:vAlign w:val="center"/>
            <w:hideMark/>
          </w:tcPr>
          <w:p w:rsidR="00000000" w:rsidRDefault="00501E77">
            <w:pPr>
              <w:rPr>
                <w:rFonts w:eastAsia="Times New Roman"/>
              </w:rPr>
            </w:pPr>
            <w:r>
              <w:rPr>
                <w:rFonts w:eastAsia="Times New Roman"/>
              </w:rPr>
              <w:t>poradný orgán </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ITAS</w:t>
            </w:r>
          </w:p>
        </w:tc>
        <w:tc>
          <w:tcPr>
            <w:tcW w:w="0" w:type="auto"/>
            <w:vAlign w:val="center"/>
            <w:hideMark/>
          </w:tcPr>
          <w:p w:rsidR="00000000" w:rsidRDefault="00501E77">
            <w:pPr>
              <w:rPr>
                <w:rFonts w:eastAsia="Times New Roman"/>
              </w:rPr>
            </w:pPr>
            <w:r>
              <w:rPr>
                <w:rFonts w:eastAsia="Times New Roman"/>
              </w:rPr>
              <w:t>prenos know-how z IT test národa</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poskytovatelia vzdelávania</w:t>
            </w:r>
          </w:p>
        </w:tc>
        <w:tc>
          <w:tcPr>
            <w:tcW w:w="0" w:type="auto"/>
            <w:vAlign w:val="center"/>
            <w:hideMark/>
          </w:tcPr>
          <w:p w:rsidR="00000000" w:rsidRDefault="00501E77">
            <w:pPr>
              <w:rPr>
                <w:rFonts w:eastAsia="Times New Roman"/>
              </w:rPr>
            </w:pPr>
            <w:r>
              <w:rPr>
                <w:rFonts w:eastAsia="Times New Roman"/>
              </w:rPr>
              <w:t>príprava a realizácia prípravných kurzov na certifikáciu</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Slovenská informačná spoločnosť</w:t>
            </w:r>
          </w:p>
        </w:tc>
        <w:tc>
          <w:tcPr>
            <w:tcW w:w="0" w:type="auto"/>
            <w:vAlign w:val="center"/>
            <w:hideMark/>
          </w:tcPr>
          <w:p w:rsidR="00000000" w:rsidRDefault="00501E77">
            <w:pPr>
              <w:rPr>
                <w:rFonts w:eastAsia="Times New Roman"/>
              </w:rPr>
            </w:pPr>
            <w:r>
              <w:rPr>
                <w:rFonts w:eastAsia="Times New Roman"/>
              </w:rPr>
              <w:t>prenos best</w:t>
            </w:r>
            <w:r>
              <w:rPr>
                <w:rFonts w:eastAsia="Times New Roman"/>
              </w:rPr>
              <w:t xml:space="preserve"> </w:t>
            </w:r>
            <w:r>
              <w:rPr>
                <w:rStyle w:val="inline-comment-marker"/>
                <w:rFonts w:eastAsia="Times New Roman"/>
              </w:rPr>
              <w:t>practic</w:t>
            </w:r>
            <w:r>
              <w:rPr>
                <w:rStyle w:val="inline-comment-marker"/>
                <w:rFonts w:eastAsia="Times New Roman"/>
              </w:rPr>
              <w:t>e</w:t>
            </w:r>
            <w:r>
              <w:rPr>
                <w:rFonts w:eastAsia="Times New Roman"/>
              </w:rPr>
              <w:t xml:space="preserve"> a  lessons learnt z implementácie ECDL</w:t>
            </w:r>
          </w:p>
        </w:tc>
      </w:tr>
      <w:tr w:rsidR="00000000">
        <w:trPr>
          <w:divId w:val="1814447589"/>
          <w:cantSplit/>
          <w:tblCellSpacing w:w="15" w:type="dxa"/>
        </w:trPr>
        <w:tc>
          <w:tcPr>
            <w:tcW w:w="0" w:type="auto"/>
            <w:vAlign w:val="center"/>
            <w:hideMark/>
          </w:tcPr>
          <w:p w:rsidR="00000000" w:rsidRDefault="00501E77">
            <w:pPr>
              <w:rPr>
                <w:rFonts w:eastAsia="Times New Roman"/>
              </w:rPr>
            </w:pPr>
            <w:r>
              <w:rPr>
                <w:rFonts w:eastAsia="Times New Roman"/>
              </w:rPr>
              <w:t>komerční certifikační partneri</w:t>
            </w:r>
          </w:p>
        </w:tc>
        <w:tc>
          <w:tcPr>
            <w:tcW w:w="0" w:type="auto"/>
            <w:vAlign w:val="center"/>
            <w:hideMark/>
          </w:tcPr>
          <w:p w:rsidR="00000000" w:rsidRDefault="00501E77">
            <w:pPr>
              <w:rPr>
                <w:rFonts w:eastAsia="Times New Roman"/>
              </w:rPr>
            </w:pPr>
            <w:r>
              <w:rPr>
                <w:rFonts w:eastAsia="Times New Roman"/>
              </w:rPr>
              <w:t>poskytovanie certifikácie</w:t>
            </w:r>
          </w:p>
        </w:tc>
      </w:tr>
    </w:tbl>
    <w:p w:rsidR="00000000" w:rsidRDefault="00501E77">
      <w:pPr>
        <w:pStyle w:val="Normlnywebov"/>
      </w:pPr>
      <w:r>
        <w:t>CMPP ako centrálna metodicko - procesná autorit</w:t>
      </w:r>
      <w:r>
        <w:t>a vznikne ako subjekt právnické združenie</w:t>
      </w:r>
    </w:p>
    <w:p w:rsidR="00000000" w:rsidRDefault="00501E77">
      <w:pPr>
        <w:pStyle w:val="Normlnywebov"/>
      </w:pPr>
      <w:r>
        <w:t>Počet alternatív, ktoré by sa snažili uplatniť vybrané princípy NKIVS alebo by vychádzali zo skúseností iných implementátorov alebo iných krajín je prakticky neobmedzený. Popisu a zhodnoteniu jednotlivých alternatí</w:t>
      </w:r>
      <w:r>
        <w:t>v je venovaná samostatná časť tejto štúdie a porovnanie jednotlivých alternatív je prostredníctvom</w:t>
      </w:r>
      <w:r>
        <w:t xml:space="preserve"> </w:t>
      </w:r>
      <w:r>
        <w:rPr>
          <w:rStyle w:val="inline-comment-marker"/>
        </w:rPr>
        <w:t>multikriteriálnej analýzy, ktorá je súčasťou</w:t>
      </w:r>
      <w:r>
        <w:rPr>
          <w:rStyle w:val="inline-comment-marker"/>
          <w:u w:val="single"/>
        </w:rPr>
        <w:t> </w:t>
      </w:r>
      <w:r>
        <w:t>tejto štúdie. Vzhľadom k faktu, že naplnenie cieľov projektu  má aj vysokú nemateriálnu hodnotu autori štúdie po</w:t>
      </w:r>
      <w:r>
        <w:t>važovali za  neopodstatnené vynakladať ďalšie kapacity a zdroje na hlbšie popisovanie a vyhodnocovanie alternatívy A.</w:t>
      </w:r>
    </w:p>
    <w:p w:rsidR="00000000" w:rsidRDefault="00501E77">
      <w:pPr>
        <w:pStyle w:val="Normlnywebov"/>
      </w:pPr>
      <w:r>
        <w:t>Nástroj hodnotenia a certifikácie bude vytvorený</w:t>
      </w:r>
      <w:r>
        <w:t> </w:t>
      </w:r>
      <w:r>
        <w:rPr>
          <w:rStyle w:val="inline-comment-marker"/>
        </w:rPr>
        <w:t>v súčinnost</w:t>
      </w:r>
      <w:r>
        <w:rPr>
          <w:rStyle w:val="inline-comment-marker"/>
        </w:rPr>
        <w:t>i</w:t>
      </w:r>
      <w:r>
        <w:t> dvoch operačných programov použitím intervenčnej logiky:</w:t>
      </w:r>
    </w:p>
    <w:p w:rsidR="00000000" w:rsidRDefault="00501E77">
      <w:pPr>
        <w:pStyle w:val="Normlnywebov"/>
      </w:pPr>
      <w:r>
        <w:t xml:space="preserve">-        </w:t>
      </w:r>
      <w:r>
        <w:t>O</w:t>
      </w:r>
      <w:r>
        <w:rPr>
          <w:rStyle w:val="inline-comment-marker"/>
        </w:rPr>
        <w:t>PII – pro</w:t>
      </w:r>
      <w:r>
        <w:rPr>
          <w:rStyle w:val="inline-comment-marker"/>
        </w:rPr>
        <w:t>jekt Digitálny ekosystém inklúzie, prijímateľ Úrad podpredsedu vlády pre investície a informatizáciu. Do projektu budú</w:t>
      </w:r>
      <w:r>
        <w:rPr>
          <w:rStyle w:val="inline-comment-marker"/>
        </w:rPr>
        <w:t xml:space="preserve"> </w:t>
      </w:r>
      <w:r>
        <w:rPr>
          <w:rStyle w:val="inline-comment-marker"/>
        </w:rPr>
        <w:t>zapojen</w:t>
      </w:r>
      <w:r>
        <w:rPr>
          <w:rStyle w:val="inline-comment-marker"/>
        </w:rPr>
        <w:t>é</w:t>
      </w:r>
      <w:r>
        <w:rPr>
          <w:rStyle w:val="inline-comment-marker"/>
        </w:rPr>
        <w:t xml:space="preserve"> aj univerzity ako certifikační partneri (štúdia predpokladá spoluprácu so Slovenskou technickou univerzitou, Technickou univerzi</w:t>
      </w:r>
      <w:r>
        <w:rPr>
          <w:rStyle w:val="inline-comment-marker"/>
        </w:rPr>
        <w:t>tou Košice a do projektu bude pozvaná aj univerzita zo stredného Slovensk</w:t>
      </w:r>
      <w:r>
        <w:rPr>
          <w:rStyle w:val="inline-comment-marker"/>
        </w:rPr>
        <w:t>a</w:t>
      </w:r>
      <w:r>
        <w:rPr>
          <w:rStyle w:val="inline-comment-marker"/>
        </w:rPr>
        <w:t>)</w:t>
      </w:r>
    </w:p>
    <w:p w:rsidR="00000000" w:rsidRDefault="00501E77">
      <w:pPr>
        <w:pStyle w:val="Normlnywebov"/>
      </w:pPr>
      <w:r>
        <w:rPr>
          <w:rStyle w:val="inline-comment-marker"/>
        </w:rPr>
        <w:t>-        OPĽZ – projekt Zamestnaj sa, buď KOMPetentný! </w:t>
      </w:r>
      <w:hyperlink r:id="rId37" w:history="1">
        <w:r>
          <w:rPr>
            <w:rStyle w:val="Hypertextovprepojenie"/>
          </w:rPr>
          <w:t>[9]</w:t>
        </w:r>
      </w:hyperlink>
      <w:r>
        <w:rPr>
          <w:rStyle w:val="inline-comment-marker"/>
        </w:rPr>
        <w:t> </w:t>
      </w:r>
      <w:r>
        <w:t> </w:t>
      </w:r>
    </w:p>
    <w:p w:rsidR="00000000" w:rsidRDefault="00501E77">
      <w:pPr>
        <w:pStyle w:val="Normlnywebov"/>
      </w:pPr>
      <w:r>
        <w:rPr>
          <w:rStyle w:val="inline-comment-marker"/>
        </w:rPr>
        <w:t>Projekt Zamestnaj sa, buď KOMPetentný! má za cieľ vytvoren</w:t>
      </w:r>
      <w:r>
        <w:rPr>
          <w:rStyle w:val="inline-comment-marker"/>
        </w:rPr>
        <w:t xml:space="preserve">ie štandardov, rámca centrálneho mechanizmu hodnotenia a certifikácie digitálnych kompetencií občanov a realizáciu experimentálneho overovania pilotného programu dosahovania úrovne digitálnych kompetencií. Projekt bol podporený záujmom RÚZ o partnerstvo v </w:t>
      </w:r>
      <w:r>
        <w:rPr>
          <w:rStyle w:val="inline-comment-marker"/>
        </w:rPr>
        <w:t>ňom s odôvodnenou potrebou zamestnávateľov aktualizovať Národný systém kvalifikácií vo vybraných sektoroch v kontexte Spoločného referenčného rámca pre informatiku. Jeho prijímateľom je ŠIOV a partnerom RÚZ ako jediná</w:t>
      </w:r>
      <w:r>
        <w:rPr>
          <w:rStyle w:val="inline-comment-marker"/>
        </w:rPr>
        <w:t> </w:t>
      </w:r>
      <w:r>
        <w:t>spomedzi zamestnávateľských organizáci</w:t>
      </w:r>
      <w:r>
        <w:t>í, ktorá zastrešuje viacero sektorových rád a sektory, ktoré sú/budú najviac ohrozené automatizáciou a zaznamenávajú nedostatok kvalifikovanej pracovnej sily a zároveň ich pracovné pozície si vyžadujú informatické zručnosti vo finančných službách, strojárs</w:t>
      </w:r>
      <w:r>
        <w:t>kom priemysle, obchode, cestovnom ruchu, potravinárskom priemysle, v administratíve, účtovníctve a manažmente.</w:t>
      </w:r>
    </w:p>
    <w:p w:rsidR="00000000" w:rsidRDefault="00501E77">
      <w:pPr>
        <w:pStyle w:val="Normlnywebov"/>
      </w:pPr>
      <w:r>
        <w:rPr>
          <w:rStyle w:val="inline-comment-marker"/>
        </w:rPr>
        <w:t> </w:t>
      </w:r>
    </w:p>
    <w:p w:rsidR="00000000" w:rsidRDefault="00501E77">
      <w:pPr>
        <w:pStyle w:val="Normlnywebov"/>
      </w:pPr>
      <w:r>
        <w:t>Pre projekty je možné vytvoriť strešný program zaoberajúci sa inklúziou do aktívneho života a pracovného trhu zvyšovaním úrovne digitálnych kom</w:t>
      </w:r>
      <w:r>
        <w:t>petencií .</w:t>
      </w:r>
    </w:p>
    <w:p w:rsidR="00000000" w:rsidRDefault="00501E77">
      <w:pPr>
        <w:pStyle w:val="Normlnywebov"/>
      </w:pPr>
      <w:r>
        <w:t> </w:t>
      </w:r>
    </w:p>
    <w:p w:rsidR="00000000" w:rsidRDefault="00501E77">
      <w:pPr>
        <w:pStyle w:val="Normlnywebov"/>
      </w:pPr>
      <w:r>
        <w:t>Príklad súčinnosti v rámci takéhoto programu je na nasledujúcom obrázku.</w:t>
      </w:r>
    </w:p>
    <w:p w:rsidR="00000000" w:rsidRDefault="00501E77">
      <w:pPr>
        <w:divId w:val="1887063613"/>
        <w:rPr>
          <w:rFonts w:eastAsia="Times New Roman"/>
        </w:rPr>
      </w:pPr>
      <w:r>
        <w:rPr>
          <w:rFonts w:eastAsia="Times New Roman"/>
          <w:noProof/>
        </w:rPr>
        <w:drawing>
          <wp:inline distT="0" distB="0" distL="0" distR="0">
            <wp:extent cx="4457700" cy="3314700"/>
            <wp:effectExtent l="0" t="0" r="0" b="0"/>
            <wp:docPr id="4" name="Obrázok 4" descr="C:\cc4d5aeb780ed6cc1c7dd2c0c1df7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c4d5aeb780ed6cc1c7dd2c0c1df77a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3314700"/>
                    </a:xfrm>
                    <a:prstGeom prst="rect">
                      <a:avLst/>
                    </a:prstGeom>
                    <a:noFill/>
                    <a:ln>
                      <a:noFill/>
                    </a:ln>
                  </pic:spPr>
                </pic:pic>
              </a:graphicData>
            </a:graphic>
          </wp:inline>
        </w:drawing>
      </w:r>
    </w:p>
    <w:p w:rsidR="00000000" w:rsidRDefault="00501E77">
      <w:pPr>
        <w:divId w:val="205987899"/>
        <w:rPr>
          <w:rFonts w:eastAsia="Times New Roman"/>
        </w:rPr>
      </w:pPr>
      <w:r>
        <w:rPr>
          <w:rStyle w:val="inline-comment-marker"/>
          <w:rFonts w:eastAsia="Times New Roman"/>
        </w:rPr>
        <w:t>Obrázo</w:t>
      </w:r>
      <w:r>
        <w:rPr>
          <w:rStyle w:val="inline-comment-marker"/>
          <w:rFonts w:eastAsia="Times New Roman"/>
        </w:rPr>
        <w:t>k</w:t>
      </w:r>
      <w:r>
        <w:rPr>
          <w:rFonts w:eastAsia="Times New Roman"/>
        </w:rPr>
        <w:t xml:space="preserve"> 2</w:t>
      </w:r>
      <w:r>
        <w:rPr>
          <w:rFonts w:eastAsia="Times New Roman"/>
        </w:rPr>
        <w:t xml:space="preserve"> </w:t>
      </w:r>
      <w:r>
        <w:rPr>
          <w:rStyle w:val="inline-comment-marker"/>
          <w:rFonts w:eastAsia="Times New Roman"/>
        </w:rPr>
        <w:t>Príkla</w:t>
      </w:r>
      <w:r>
        <w:rPr>
          <w:rStyle w:val="inline-comment-marker"/>
          <w:rFonts w:eastAsia="Times New Roman"/>
        </w:rPr>
        <w:t>d</w:t>
      </w:r>
      <w:r>
        <w:rPr>
          <w:rFonts w:eastAsia="Times New Roman"/>
        </w:rPr>
        <w:t xml:space="preserve"> </w:t>
      </w:r>
      <w:r>
        <w:rPr>
          <w:rFonts w:eastAsia="Times New Roman"/>
        </w:rPr>
        <w:t xml:space="preserve">súčinnosti partnerov  </w:t>
      </w:r>
    </w:p>
    <w:p w:rsidR="00000000" w:rsidRDefault="00501E77">
      <w:pPr>
        <w:divId w:val="107742268"/>
        <w:rPr>
          <w:rFonts w:eastAsia="Times New Roman"/>
        </w:rPr>
      </w:pPr>
    </w:p>
    <w:p w:rsidR="00000000" w:rsidRDefault="00501E77">
      <w:pPr>
        <w:divId w:val="107742268"/>
        <w:rPr>
          <w:rFonts w:eastAsia="Times New Roman"/>
        </w:rPr>
      </w:pPr>
      <w:r>
        <w:rPr>
          <w:rFonts w:eastAsia="Times New Roman"/>
        </w:rPr>
        <w:pict>
          <v:rect id="_x0000_i1026" style="width:0;height:1.5pt" o:hralign="center" o:hrstd="t" o:hr="t" fillcolor="#a0a0a0" stroked="f"/>
        </w:pict>
      </w:r>
    </w:p>
    <w:p w:rsidR="00000000" w:rsidRDefault="00501E77">
      <w:pPr>
        <w:divId w:val="107742268"/>
        <w:rPr>
          <w:rFonts w:eastAsia="Times New Roman"/>
        </w:rPr>
      </w:pPr>
    </w:p>
    <w:p w:rsidR="00000000" w:rsidRDefault="00501E77">
      <w:pPr>
        <w:divId w:val="131098494"/>
        <w:rPr>
          <w:rFonts w:eastAsia="Times New Roman"/>
        </w:rPr>
      </w:pPr>
      <w:hyperlink r:id="rId39" w:history="1">
        <w:r>
          <w:rPr>
            <w:rStyle w:val="Hypertextovprepojenie"/>
            <w:rFonts w:eastAsia="Times New Roman"/>
          </w:rPr>
          <w:t>[9]</w:t>
        </w:r>
      </w:hyperlink>
      <w:r>
        <w:rPr>
          <w:rFonts w:eastAsia="Times New Roman"/>
        </w:rPr>
        <w:t xml:space="preserve"> dokumentácia k súčinnému projektu  Zamestnaj sa, buď KOMPetentný!  </w:t>
      </w:r>
      <w:hyperlink r:id="rId40" w:history="1">
        <w:r>
          <w:rPr>
            <w:rStyle w:val="Hypertextovprepojenie"/>
            <w:rFonts w:eastAsia="Times New Roman"/>
          </w:rPr>
          <w:t>http://www.siov.sk/Clanok.aspx?ArticleID=268</w:t>
        </w:r>
      </w:hyperlink>
      <w:r>
        <w:rPr>
          <w:rFonts w:eastAsia="Times New Roman"/>
        </w:rPr>
        <w:t xml:space="preserve"> </w:t>
      </w:r>
    </w:p>
    <w:p w:rsidR="00000000" w:rsidRDefault="00501E77">
      <w:pPr>
        <w:pStyle w:val="Normlnywebov"/>
        <w:divId w:val="121576824"/>
      </w:pPr>
      <w:r>
        <w:t> </w:t>
      </w:r>
    </w:p>
    <w:p w:rsidR="00000000" w:rsidRDefault="00501E77">
      <w:pPr>
        <w:pStyle w:val="Nadpis2"/>
        <w:rPr>
          <w:rFonts w:eastAsia="Times New Roman"/>
        </w:rPr>
      </w:pPr>
      <w:r>
        <w:rPr>
          <w:rFonts w:eastAsia="Times New Roman"/>
        </w:rPr>
        <w:t>Použité skratky a značky</w:t>
      </w:r>
    </w:p>
    <w:p w:rsidR="00000000" w:rsidRDefault="00501E77">
      <w:pPr>
        <w:pStyle w:val="Normlnywebov"/>
      </w:pPr>
      <w:r>
        <w:rPr>
          <w:rStyle w:val="Zvraznenie"/>
        </w:rPr>
        <w:t>Tabuľka 2</w:t>
      </w:r>
      <w:r>
        <w:t xml:space="preserve"> </w:t>
      </w:r>
      <w:r>
        <w:rPr>
          <w:rStyle w:val="Zvraznenie"/>
        </w:rPr>
        <w:t>Skratky a značky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900556086"/>
          <w:cantSplit/>
          <w:tblCellSpacing w:w="15" w:type="dxa"/>
        </w:trPr>
        <w:tc>
          <w:tcPr>
            <w:tcW w:w="0" w:type="auto"/>
            <w:vAlign w:val="center"/>
            <w:hideMark/>
          </w:tcPr>
          <w:p w:rsidR="00000000" w:rsidRDefault="00501E77">
            <w:pPr>
              <w:pStyle w:val="Normlnywebov"/>
            </w:pPr>
            <w:r>
              <w:rPr>
                <w:rStyle w:val="Siln"/>
              </w:rPr>
              <w:t>Skratka / Značka</w:t>
            </w:r>
          </w:p>
        </w:tc>
        <w:tc>
          <w:tcPr>
            <w:tcW w:w="0" w:type="auto"/>
            <w:vAlign w:val="center"/>
            <w:hideMark/>
          </w:tcPr>
          <w:p w:rsidR="00000000" w:rsidRDefault="00501E77">
            <w:pPr>
              <w:pStyle w:val="Normlnywebov"/>
            </w:pPr>
            <w:r>
              <w:rPr>
                <w:rStyle w:val="Siln"/>
              </w:rPr>
              <w:t>Vysvetlenie</w:t>
            </w:r>
          </w:p>
        </w:tc>
      </w:tr>
      <w:tr w:rsidR="00000000">
        <w:trPr>
          <w:divId w:val="900556086"/>
          <w:cantSplit/>
          <w:tblCellSpacing w:w="15" w:type="dxa"/>
        </w:trPr>
        <w:tc>
          <w:tcPr>
            <w:tcW w:w="0" w:type="auto"/>
            <w:vAlign w:val="center"/>
            <w:hideMark/>
          </w:tcPr>
          <w:p w:rsidR="00000000" w:rsidRDefault="00501E77">
            <w:pPr>
              <w:pStyle w:val="Normlnywebov"/>
            </w:pPr>
            <w:r>
              <w:t>AK VS</w:t>
            </w:r>
          </w:p>
        </w:tc>
        <w:tc>
          <w:tcPr>
            <w:tcW w:w="0" w:type="auto"/>
            <w:vAlign w:val="center"/>
            <w:hideMark/>
          </w:tcPr>
          <w:p w:rsidR="00000000" w:rsidRDefault="00501E77">
            <w:pPr>
              <w:pStyle w:val="Normlnywebov"/>
            </w:pPr>
            <w:r>
              <w:t>Architektonická kancelária verejnej správy</w:t>
            </w:r>
          </w:p>
        </w:tc>
      </w:tr>
      <w:tr w:rsidR="00000000">
        <w:trPr>
          <w:divId w:val="900556086"/>
          <w:cantSplit/>
          <w:tblCellSpacing w:w="15" w:type="dxa"/>
        </w:trPr>
        <w:tc>
          <w:tcPr>
            <w:tcW w:w="0" w:type="auto"/>
            <w:vAlign w:val="center"/>
            <w:hideMark/>
          </w:tcPr>
          <w:p w:rsidR="00000000" w:rsidRDefault="00501E77">
            <w:pPr>
              <w:pStyle w:val="Normlnywebov"/>
            </w:pPr>
            <w:r>
              <w:t>CBA</w:t>
            </w:r>
          </w:p>
        </w:tc>
        <w:tc>
          <w:tcPr>
            <w:tcW w:w="0" w:type="auto"/>
            <w:vAlign w:val="center"/>
            <w:hideMark/>
          </w:tcPr>
          <w:p w:rsidR="00000000" w:rsidRDefault="00501E77">
            <w:pPr>
              <w:pStyle w:val="Normlnywebov"/>
            </w:pPr>
            <w:r>
              <w:t>Cost-benefit analýza</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CEM</w:t>
            </w:r>
          </w:p>
        </w:tc>
        <w:tc>
          <w:tcPr>
            <w:tcW w:w="0" w:type="auto"/>
            <w:vAlign w:val="center"/>
            <w:hideMark/>
          </w:tcPr>
          <w:p w:rsidR="00000000" w:rsidRDefault="00501E77">
            <w:pPr>
              <w:rPr>
                <w:rFonts w:eastAsia="Times New Roman"/>
              </w:rPr>
            </w:pPr>
            <w:r>
              <w:rPr>
                <w:rFonts w:eastAsia="Times New Roman"/>
              </w:rPr>
              <w:t>Centrálna evidencia majetku</w:t>
            </w:r>
          </w:p>
        </w:tc>
      </w:tr>
      <w:tr w:rsidR="00000000">
        <w:trPr>
          <w:divId w:val="900556086"/>
          <w:cantSplit/>
          <w:tblCellSpacing w:w="15" w:type="dxa"/>
        </w:trPr>
        <w:tc>
          <w:tcPr>
            <w:tcW w:w="0" w:type="auto"/>
            <w:vAlign w:val="center"/>
            <w:hideMark/>
          </w:tcPr>
          <w:p w:rsidR="00000000" w:rsidRDefault="00501E77">
            <w:pPr>
              <w:pStyle w:val="Normlnywebov"/>
            </w:pPr>
            <w:r>
              <w:t>CISŠS</w:t>
            </w:r>
          </w:p>
        </w:tc>
        <w:tc>
          <w:tcPr>
            <w:tcW w:w="0" w:type="auto"/>
            <w:vAlign w:val="center"/>
            <w:hideMark/>
          </w:tcPr>
          <w:p w:rsidR="00000000" w:rsidRDefault="00501E77">
            <w:pPr>
              <w:pStyle w:val="Normlnywebov"/>
            </w:pPr>
            <w:r>
              <w:t>Centrálny informačný systém štátnej služby</w:t>
            </w:r>
          </w:p>
        </w:tc>
      </w:tr>
      <w:tr w:rsidR="00000000">
        <w:trPr>
          <w:divId w:val="900556086"/>
          <w:cantSplit/>
          <w:tblCellSpacing w:w="15" w:type="dxa"/>
        </w:trPr>
        <w:tc>
          <w:tcPr>
            <w:tcW w:w="0" w:type="auto"/>
            <w:vAlign w:val="center"/>
            <w:hideMark/>
          </w:tcPr>
          <w:p w:rsidR="00000000" w:rsidRDefault="00501E77">
            <w:pPr>
              <w:pStyle w:val="Normlnywebov"/>
            </w:pPr>
            <w:r>
              <w:t>CKS</w:t>
            </w:r>
          </w:p>
        </w:tc>
        <w:tc>
          <w:tcPr>
            <w:tcW w:w="0" w:type="auto"/>
            <w:vAlign w:val="center"/>
            <w:hideMark/>
          </w:tcPr>
          <w:p w:rsidR="00000000" w:rsidRDefault="00501E77">
            <w:pPr>
              <w:pStyle w:val="Normlnywebov"/>
            </w:pPr>
            <w:r>
              <w:t>Centrálny konsolidačný systém</w:t>
            </w:r>
          </w:p>
        </w:tc>
      </w:tr>
      <w:tr w:rsidR="00000000">
        <w:trPr>
          <w:divId w:val="900556086"/>
          <w:cantSplit/>
          <w:tblCellSpacing w:w="15" w:type="dxa"/>
        </w:trPr>
        <w:tc>
          <w:tcPr>
            <w:tcW w:w="0" w:type="auto"/>
            <w:vAlign w:val="center"/>
            <w:hideMark/>
          </w:tcPr>
          <w:p w:rsidR="00000000" w:rsidRDefault="00501E77">
            <w:pPr>
              <w:pStyle w:val="Normlnywebov"/>
            </w:pPr>
            <w:r>
              <w:rPr>
                <w:rStyle w:val="inline-comment-marker"/>
              </w:rPr>
              <w:t>CMPP/ CD</w:t>
            </w:r>
            <w:r>
              <w:rPr>
                <w:rStyle w:val="inline-comment-marker"/>
              </w:rPr>
              <w:t>K</w:t>
            </w:r>
          </w:p>
        </w:tc>
        <w:tc>
          <w:tcPr>
            <w:tcW w:w="0" w:type="auto"/>
            <w:vAlign w:val="center"/>
            <w:hideMark/>
          </w:tcPr>
          <w:p w:rsidR="00000000" w:rsidRDefault="00501E77">
            <w:pPr>
              <w:pStyle w:val="Normlnywebov"/>
            </w:pPr>
            <w:r>
              <w:rPr>
                <w:rStyle w:val="inline-comment-marker"/>
              </w:rPr>
              <w:t>Centrum metodicko-procesnej podpor</w:t>
            </w:r>
            <w:r>
              <w:rPr>
                <w:rStyle w:val="inline-comment-marker"/>
              </w:rPr>
              <w:t>y</w:t>
            </w:r>
          </w:p>
        </w:tc>
      </w:tr>
      <w:tr w:rsidR="00000000">
        <w:trPr>
          <w:divId w:val="900556086"/>
          <w:cantSplit/>
          <w:tblCellSpacing w:w="15" w:type="dxa"/>
        </w:trPr>
        <w:tc>
          <w:tcPr>
            <w:tcW w:w="0" w:type="auto"/>
            <w:vAlign w:val="center"/>
            <w:hideMark/>
          </w:tcPr>
          <w:p w:rsidR="00000000" w:rsidRDefault="00501E77">
            <w:pPr>
              <w:pStyle w:val="Normlnywebov"/>
            </w:pPr>
            <w:r>
              <w:t>CRPŠ</w:t>
            </w:r>
          </w:p>
        </w:tc>
        <w:tc>
          <w:tcPr>
            <w:tcW w:w="0" w:type="auto"/>
            <w:vAlign w:val="center"/>
            <w:hideMark/>
          </w:tcPr>
          <w:p w:rsidR="00000000" w:rsidRDefault="00501E77">
            <w:pPr>
              <w:pStyle w:val="Normlnywebov"/>
            </w:pPr>
            <w:r>
              <w:t>Centrálny register splatných pohľadávok štátu</w:t>
            </w:r>
          </w:p>
        </w:tc>
      </w:tr>
      <w:tr w:rsidR="00000000">
        <w:trPr>
          <w:divId w:val="900556086"/>
          <w:cantSplit/>
          <w:tblCellSpacing w:w="15" w:type="dxa"/>
        </w:trPr>
        <w:tc>
          <w:tcPr>
            <w:tcW w:w="0" w:type="auto"/>
            <w:vAlign w:val="center"/>
            <w:hideMark/>
          </w:tcPr>
          <w:p w:rsidR="00000000" w:rsidRDefault="00501E77">
            <w:pPr>
              <w:pStyle w:val="Normlnywebov"/>
            </w:pPr>
            <w:r>
              <w:t>CSRÚ</w:t>
            </w:r>
          </w:p>
        </w:tc>
        <w:tc>
          <w:tcPr>
            <w:tcW w:w="0" w:type="auto"/>
            <w:vAlign w:val="center"/>
            <w:hideMark/>
          </w:tcPr>
          <w:p w:rsidR="00000000" w:rsidRDefault="00501E77">
            <w:pPr>
              <w:pStyle w:val="Normlnywebov"/>
            </w:pPr>
            <w:r>
              <w:t>Centrálna správa referenčných údajov</w:t>
            </w:r>
          </w:p>
        </w:tc>
      </w:tr>
      <w:tr w:rsidR="00000000">
        <w:trPr>
          <w:divId w:val="900556086"/>
          <w:cantSplit/>
          <w:tblCellSpacing w:w="15" w:type="dxa"/>
        </w:trPr>
        <w:tc>
          <w:tcPr>
            <w:tcW w:w="0" w:type="auto"/>
            <w:vAlign w:val="center"/>
            <w:hideMark/>
          </w:tcPr>
          <w:p w:rsidR="00000000" w:rsidRDefault="00501E77">
            <w:pPr>
              <w:pStyle w:val="Normlnywebov"/>
            </w:pPr>
            <w:r>
              <w:t>CRZ</w:t>
            </w:r>
          </w:p>
        </w:tc>
        <w:tc>
          <w:tcPr>
            <w:tcW w:w="0" w:type="auto"/>
            <w:vAlign w:val="center"/>
            <w:hideMark/>
          </w:tcPr>
          <w:p w:rsidR="00000000" w:rsidRDefault="00501E77">
            <w:pPr>
              <w:pStyle w:val="Normlnywebov"/>
            </w:pPr>
            <w:r>
              <w:t>Centrálny register zmlúv</w:t>
            </w:r>
          </w:p>
        </w:tc>
      </w:tr>
      <w:tr w:rsidR="00000000">
        <w:trPr>
          <w:divId w:val="900556086"/>
          <w:cantSplit/>
          <w:tblCellSpacing w:w="15" w:type="dxa"/>
        </w:trPr>
        <w:tc>
          <w:tcPr>
            <w:tcW w:w="0" w:type="auto"/>
            <w:vAlign w:val="center"/>
            <w:hideMark/>
          </w:tcPr>
          <w:p w:rsidR="00000000" w:rsidRDefault="00501E77">
            <w:pPr>
              <w:pStyle w:val="Normlnywebov"/>
            </w:pPr>
            <w:r>
              <w:t>CPU</w:t>
            </w:r>
          </w:p>
        </w:tc>
        <w:tc>
          <w:tcPr>
            <w:tcW w:w="0" w:type="auto"/>
            <w:vAlign w:val="center"/>
            <w:hideMark/>
          </w:tcPr>
          <w:p w:rsidR="00000000" w:rsidRDefault="00501E77">
            <w:pPr>
              <w:pStyle w:val="Normlnywebov"/>
            </w:pPr>
            <w:r>
              <w:t>Centrum podpory užívateľov</w:t>
            </w:r>
          </w:p>
        </w:tc>
      </w:tr>
      <w:tr w:rsidR="00000000">
        <w:trPr>
          <w:divId w:val="900556086"/>
          <w:cantSplit/>
          <w:tblCellSpacing w:w="15" w:type="dxa"/>
        </w:trPr>
        <w:tc>
          <w:tcPr>
            <w:tcW w:w="0" w:type="auto"/>
            <w:vAlign w:val="center"/>
            <w:hideMark/>
          </w:tcPr>
          <w:p w:rsidR="00000000" w:rsidRDefault="00501E77">
            <w:pPr>
              <w:pStyle w:val="Normlnywebov"/>
            </w:pPr>
            <w:r>
              <w:t>DC</w:t>
            </w:r>
          </w:p>
        </w:tc>
        <w:tc>
          <w:tcPr>
            <w:tcW w:w="0" w:type="auto"/>
            <w:vAlign w:val="center"/>
            <w:hideMark/>
          </w:tcPr>
          <w:p w:rsidR="00000000" w:rsidRDefault="00501E77">
            <w:pPr>
              <w:pStyle w:val="Normlnywebov"/>
            </w:pPr>
            <w:r>
              <w:t>DataCentrum</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DEI</w:t>
            </w:r>
          </w:p>
        </w:tc>
        <w:tc>
          <w:tcPr>
            <w:tcW w:w="0" w:type="auto"/>
            <w:vAlign w:val="center"/>
            <w:hideMark/>
          </w:tcPr>
          <w:p w:rsidR="00000000" w:rsidRDefault="00501E77">
            <w:pPr>
              <w:rPr>
                <w:rFonts w:eastAsia="Times New Roman"/>
              </w:rPr>
            </w:pPr>
            <w:r>
              <w:rPr>
                <w:rFonts w:eastAsia="Times New Roman"/>
              </w:rPr>
              <w:t>Digitálny</w:t>
            </w:r>
            <w:r>
              <w:rPr>
                <w:rFonts w:eastAsia="Times New Roman"/>
              </w:rPr>
              <w:t xml:space="preserve"> </w:t>
            </w:r>
            <w:r>
              <w:rPr>
                <w:rStyle w:val="inline-comment-marker"/>
                <w:rFonts w:eastAsia="Times New Roman"/>
              </w:rPr>
              <w:t>ekosystém</w:t>
            </w:r>
            <w:r>
              <w:rPr>
                <w:rStyle w:val="inline-comment-marker"/>
                <w:rFonts w:eastAsia="Times New Roman"/>
              </w:rPr>
              <w:t xml:space="preserve"> </w:t>
            </w:r>
            <w:r>
              <w:rPr>
                <w:rFonts w:eastAsia="Times New Roman"/>
              </w:rPr>
              <w:t>inklúzie</w:t>
            </w:r>
          </w:p>
        </w:tc>
      </w:tr>
      <w:tr w:rsidR="00000000">
        <w:trPr>
          <w:divId w:val="900556086"/>
          <w:cantSplit/>
          <w:tblCellSpacing w:w="15" w:type="dxa"/>
        </w:trPr>
        <w:tc>
          <w:tcPr>
            <w:tcW w:w="0" w:type="auto"/>
            <w:vAlign w:val="center"/>
            <w:hideMark/>
          </w:tcPr>
          <w:p w:rsidR="00000000" w:rsidRDefault="00501E77">
            <w:pPr>
              <w:pStyle w:val="Normlnywebov"/>
            </w:pPr>
            <w:r>
              <w:t>DFŠ</w:t>
            </w:r>
          </w:p>
        </w:tc>
        <w:tc>
          <w:tcPr>
            <w:tcW w:w="0" w:type="auto"/>
            <w:vAlign w:val="center"/>
            <w:hideMark/>
          </w:tcPr>
          <w:p w:rsidR="00000000" w:rsidRDefault="00501E77">
            <w:pPr>
              <w:pStyle w:val="Normlnywebov"/>
            </w:pPr>
            <w:r>
              <w:t>Detailná funkčná špecifikácia</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ECDL</w:t>
            </w:r>
          </w:p>
        </w:tc>
        <w:tc>
          <w:tcPr>
            <w:tcW w:w="0" w:type="auto"/>
            <w:vAlign w:val="center"/>
            <w:hideMark/>
          </w:tcPr>
          <w:p w:rsidR="00000000" w:rsidRDefault="00501E77">
            <w:pPr>
              <w:rPr>
                <w:rFonts w:eastAsia="Times New Roman"/>
              </w:rPr>
            </w:pPr>
            <w:r>
              <w:rPr>
                <w:rFonts w:eastAsia="Times New Roman"/>
              </w:rPr>
              <w:t xml:space="preserve">Európsky vodičský preukaz na počítače ( </w:t>
            </w:r>
            <w:r>
              <w:rPr>
                <w:rFonts w:eastAsia="Times New Roman"/>
                <w:color w:val="545454"/>
              </w:rPr>
              <w:t>European Computer Driving Licence )</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eGC</w:t>
            </w:r>
          </w:p>
        </w:tc>
        <w:tc>
          <w:tcPr>
            <w:tcW w:w="0" w:type="auto"/>
            <w:vAlign w:val="center"/>
            <w:hideMark/>
          </w:tcPr>
          <w:p w:rsidR="00000000" w:rsidRDefault="00501E77">
            <w:pPr>
              <w:rPr>
                <w:rFonts w:eastAsia="Times New Roman"/>
              </w:rPr>
            </w:pPr>
            <w:r>
              <w:rPr>
                <w:rFonts w:eastAsia="Times New Roman"/>
              </w:rPr>
              <w:t>eGovernment Cloud (vládny cloud)</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EHP</w:t>
            </w:r>
          </w:p>
        </w:tc>
        <w:tc>
          <w:tcPr>
            <w:tcW w:w="0" w:type="auto"/>
            <w:vAlign w:val="center"/>
            <w:hideMark/>
          </w:tcPr>
          <w:p w:rsidR="00000000" w:rsidRDefault="00501E77">
            <w:pPr>
              <w:rPr>
                <w:rFonts w:eastAsia="Times New Roman"/>
              </w:rPr>
            </w:pPr>
            <w:r>
              <w:rPr>
                <w:rFonts w:eastAsia="Times New Roman"/>
              </w:rPr>
              <w:t>Európsky hospodársky priestor</w:t>
            </w:r>
          </w:p>
        </w:tc>
      </w:tr>
      <w:tr w:rsidR="00000000">
        <w:trPr>
          <w:divId w:val="900556086"/>
          <w:cantSplit/>
          <w:tblCellSpacing w:w="15" w:type="dxa"/>
        </w:trPr>
        <w:tc>
          <w:tcPr>
            <w:tcW w:w="0" w:type="auto"/>
            <w:vAlign w:val="center"/>
            <w:hideMark/>
          </w:tcPr>
          <w:p w:rsidR="00000000" w:rsidRDefault="00501E77">
            <w:pPr>
              <w:pStyle w:val="Normlnywebov"/>
            </w:pPr>
            <w:r>
              <w:t>EIS</w:t>
            </w:r>
          </w:p>
        </w:tc>
        <w:tc>
          <w:tcPr>
            <w:tcW w:w="0" w:type="auto"/>
            <w:vAlign w:val="center"/>
            <w:hideMark/>
          </w:tcPr>
          <w:p w:rsidR="00000000" w:rsidRDefault="00501E77">
            <w:pPr>
              <w:pStyle w:val="Normlnywebov"/>
            </w:pPr>
            <w:r>
              <w:t>Ekonomický informačný systém</w:t>
            </w:r>
          </w:p>
        </w:tc>
      </w:tr>
      <w:tr w:rsidR="00000000">
        <w:trPr>
          <w:divId w:val="900556086"/>
          <w:cantSplit/>
          <w:tblCellSpacing w:w="15" w:type="dxa"/>
        </w:trPr>
        <w:tc>
          <w:tcPr>
            <w:tcW w:w="0" w:type="auto"/>
            <w:vAlign w:val="center"/>
            <w:hideMark/>
          </w:tcPr>
          <w:p w:rsidR="00000000" w:rsidRDefault="00501E77">
            <w:pPr>
              <w:pStyle w:val="Normlnywebov"/>
            </w:pPr>
            <w:r>
              <w:t>GDPR</w:t>
            </w:r>
          </w:p>
        </w:tc>
        <w:tc>
          <w:tcPr>
            <w:tcW w:w="0" w:type="auto"/>
            <w:vAlign w:val="center"/>
            <w:hideMark/>
          </w:tcPr>
          <w:p w:rsidR="00000000" w:rsidRDefault="00501E77">
            <w:pPr>
              <w:pStyle w:val="Normlnywebov"/>
            </w:pPr>
            <w:r>
              <w:t>General Data Protection Regulation</w:t>
            </w:r>
          </w:p>
        </w:tc>
      </w:tr>
      <w:tr w:rsidR="00000000">
        <w:trPr>
          <w:divId w:val="900556086"/>
          <w:cantSplit/>
          <w:tblCellSpacing w:w="15" w:type="dxa"/>
        </w:trPr>
        <w:tc>
          <w:tcPr>
            <w:tcW w:w="0" w:type="auto"/>
            <w:vAlign w:val="center"/>
            <w:hideMark/>
          </w:tcPr>
          <w:p w:rsidR="00000000" w:rsidRDefault="00501E77">
            <w:pPr>
              <w:pStyle w:val="Normlnywebov"/>
            </w:pPr>
            <w:r>
              <w:t>IaaS</w:t>
            </w:r>
          </w:p>
        </w:tc>
        <w:tc>
          <w:tcPr>
            <w:tcW w:w="0" w:type="auto"/>
            <w:vAlign w:val="center"/>
            <w:hideMark/>
          </w:tcPr>
          <w:p w:rsidR="00000000" w:rsidRDefault="00501E77">
            <w:pPr>
              <w:pStyle w:val="Normlnywebov"/>
            </w:pPr>
            <w:r>
              <w:t>Infrastructure-as-a-Service (infraštruktúra ako služba)</w:t>
            </w:r>
          </w:p>
        </w:tc>
      </w:tr>
      <w:tr w:rsidR="00000000">
        <w:trPr>
          <w:divId w:val="900556086"/>
          <w:cantSplit/>
          <w:tblCellSpacing w:w="15" w:type="dxa"/>
        </w:trPr>
        <w:tc>
          <w:tcPr>
            <w:tcW w:w="0" w:type="auto"/>
            <w:vAlign w:val="center"/>
            <w:hideMark/>
          </w:tcPr>
          <w:p w:rsidR="00000000" w:rsidRDefault="00501E77">
            <w:pPr>
              <w:pStyle w:val="Normlnywebov"/>
            </w:pPr>
            <w:r>
              <w:t>IKT</w:t>
            </w:r>
          </w:p>
        </w:tc>
        <w:tc>
          <w:tcPr>
            <w:tcW w:w="0" w:type="auto"/>
            <w:vAlign w:val="center"/>
            <w:hideMark/>
          </w:tcPr>
          <w:p w:rsidR="00000000" w:rsidRDefault="00501E77">
            <w:pPr>
              <w:pStyle w:val="Normlnywebov"/>
            </w:pPr>
            <w:r>
              <w:t>Informačné a komunikačné technológie</w:t>
            </w:r>
          </w:p>
        </w:tc>
      </w:tr>
      <w:tr w:rsidR="00000000">
        <w:trPr>
          <w:divId w:val="900556086"/>
          <w:cantSplit/>
          <w:tblCellSpacing w:w="15" w:type="dxa"/>
        </w:trPr>
        <w:tc>
          <w:tcPr>
            <w:tcW w:w="0" w:type="auto"/>
            <w:vAlign w:val="center"/>
            <w:hideMark/>
          </w:tcPr>
          <w:p w:rsidR="00000000" w:rsidRDefault="00501E77">
            <w:pPr>
              <w:pStyle w:val="Normlnywebov"/>
            </w:pPr>
            <w:r>
              <w:t>IS</w:t>
            </w:r>
          </w:p>
        </w:tc>
        <w:tc>
          <w:tcPr>
            <w:tcW w:w="0" w:type="auto"/>
            <w:vAlign w:val="center"/>
            <w:hideMark/>
          </w:tcPr>
          <w:p w:rsidR="00000000" w:rsidRDefault="00501E77">
            <w:pPr>
              <w:pStyle w:val="Normlnywebov"/>
            </w:pPr>
            <w:r>
              <w:t>Informačný systém</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ISTP</w:t>
            </w:r>
          </w:p>
        </w:tc>
        <w:tc>
          <w:tcPr>
            <w:tcW w:w="0" w:type="auto"/>
            <w:vAlign w:val="center"/>
            <w:hideMark/>
          </w:tcPr>
          <w:p w:rsidR="00000000" w:rsidRDefault="00501E77">
            <w:pPr>
              <w:rPr>
                <w:rFonts w:eastAsia="Times New Roman"/>
              </w:rPr>
            </w:pPr>
            <w:r>
              <w:rPr>
                <w:rFonts w:eastAsia="Times New Roman"/>
              </w:rPr>
              <w:t>Internetový sprievodca trhom práce</w:t>
            </w:r>
          </w:p>
        </w:tc>
      </w:tr>
      <w:tr w:rsidR="00000000">
        <w:trPr>
          <w:divId w:val="900556086"/>
          <w:cantSplit/>
          <w:tblCellSpacing w:w="15" w:type="dxa"/>
        </w:trPr>
        <w:tc>
          <w:tcPr>
            <w:tcW w:w="0" w:type="auto"/>
            <w:vAlign w:val="center"/>
            <w:hideMark/>
          </w:tcPr>
          <w:p w:rsidR="00000000" w:rsidRDefault="00501E77">
            <w:pPr>
              <w:pStyle w:val="Normlnywebov"/>
            </w:pPr>
            <w:r>
              <w:t>ISSZ</w:t>
            </w:r>
          </w:p>
        </w:tc>
        <w:tc>
          <w:tcPr>
            <w:tcW w:w="0" w:type="auto"/>
            <w:vAlign w:val="center"/>
            <w:hideMark/>
          </w:tcPr>
          <w:p w:rsidR="00000000" w:rsidRDefault="00501E77">
            <w:pPr>
              <w:pStyle w:val="Normlnywebov"/>
            </w:pPr>
            <w:r>
              <w:t>Informačný systém služieb zamestnanosti</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IS VS</w:t>
            </w:r>
          </w:p>
        </w:tc>
        <w:tc>
          <w:tcPr>
            <w:tcW w:w="0" w:type="auto"/>
            <w:vAlign w:val="center"/>
            <w:hideMark/>
          </w:tcPr>
          <w:p w:rsidR="00000000" w:rsidRDefault="00501E77">
            <w:pPr>
              <w:rPr>
                <w:rFonts w:eastAsia="Times New Roman"/>
              </w:rPr>
            </w:pPr>
            <w:r>
              <w:rPr>
                <w:rFonts w:eastAsia="Times New Roman"/>
              </w:rPr>
              <w:t>Informačný systém verejnej správy</w:t>
            </w:r>
          </w:p>
        </w:tc>
      </w:tr>
      <w:tr w:rsidR="00000000">
        <w:trPr>
          <w:divId w:val="900556086"/>
          <w:cantSplit/>
          <w:tblCellSpacing w:w="15" w:type="dxa"/>
        </w:trPr>
        <w:tc>
          <w:tcPr>
            <w:tcW w:w="0" w:type="auto"/>
            <w:vAlign w:val="center"/>
            <w:hideMark/>
          </w:tcPr>
          <w:p w:rsidR="00000000" w:rsidRDefault="00501E77">
            <w:pPr>
              <w:pStyle w:val="Normlnywebov"/>
            </w:pPr>
            <w:r>
              <w:t>KTI</w:t>
            </w:r>
          </w:p>
        </w:tc>
        <w:tc>
          <w:tcPr>
            <w:tcW w:w="0" w:type="auto"/>
            <w:vAlign w:val="center"/>
            <w:hideMark/>
          </w:tcPr>
          <w:p w:rsidR="00000000" w:rsidRDefault="00501E77">
            <w:pPr>
              <w:pStyle w:val="Normlnywebov"/>
            </w:pPr>
            <w:r>
              <w:t>Komunikačno-technologická infraštruktúra</w:t>
            </w:r>
          </w:p>
        </w:tc>
      </w:tr>
      <w:tr w:rsidR="00000000">
        <w:trPr>
          <w:divId w:val="900556086"/>
          <w:cantSplit/>
          <w:tblCellSpacing w:w="15" w:type="dxa"/>
        </w:trPr>
        <w:tc>
          <w:tcPr>
            <w:tcW w:w="0" w:type="auto"/>
            <w:vAlign w:val="center"/>
            <w:hideMark/>
          </w:tcPr>
          <w:p w:rsidR="00000000" w:rsidRDefault="00501E77">
            <w:pPr>
              <w:pStyle w:val="Normlnywebov"/>
            </w:pPr>
            <w:r>
              <w:t>KÚZ</w:t>
            </w:r>
          </w:p>
        </w:tc>
        <w:tc>
          <w:tcPr>
            <w:tcW w:w="0" w:type="auto"/>
            <w:vAlign w:val="center"/>
            <w:hideMark/>
          </w:tcPr>
          <w:p w:rsidR="00000000" w:rsidRDefault="00501E77">
            <w:pPr>
              <w:pStyle w:val="Normlnywebov"/>
            </w:pPr>
            <w:r>
              <w:t>Konsolidovaná účtovná závierka</w:t>
            </w:r>
          </w:p>
        </w:tc>
      </w:tr>
      <w:tr w:rsidR="00000000">
        <w:trPr>
          <w:divId w:val="900556086"/>
          <w:cantSplit/>
          <w:tblCellSpacing w:w="15" w:type="dxa"/>
        </w:trPr>
        <w:tc>
          <w:tcPr>
            <w:tcW w:w="0" w:type="auto"/>
            <w:vAlign w:val="center"/>
            <w:hideMark/>
          </w:tcPr>
          <w:p w:rsidR="00000000" w:rsidRDefault="00501E77">
            <w:pPr>
              <w:pStyle w:val="Normlnywebov"/>
            </w:pPr>
            <w:r>
              <w:t>MDV SR</w:t>
            </w:r>
          </w:p>
        </w:tc>
        <w:tc>
          <w:tcPr>
            <w:tcW w:w="0" w:type="auto"/>
            <w:vAlign w:val="center"/>
            <w:hideMark/>
          </w:tcPr>
          <w:p w:rsidR="00000000" w:rsidRDefault="00501E77">
            <w:pPr>
              <w:pStyle w:val="Normlnywebov"/>
            </w:pPr>
            <w:r>
              <w:t>Ministerstvo dopravy a výstavby SR</w:t>
            </w:r>
          </w:p>
        </w:tc>
      </w:tr>
      <w:tr w:rsidR="00000000">
        <w:trPr>
          <w:divId w:val="900556086"/>
          <w:cantSplit/>
          <w:tblCellSpacing w:w="15" w:type="dxa"/>
        </w:trPr>
        <w:tc>
          <w:tcPr>
            <w:tcW w:w="0" w:type="auto"/>
            <w:vAlign w:val="center"/>
            <w:hideMark/>
          </w:tcPr>
          <w:p w:rsidR="00000000" w:rsidRDefault="00501E77">
            <w:pPr>
              <w:pStyle w:val="Normlnywebov"/>
            </w:pPr>
            <w:r>
              <w:t>MF SR</w:t>
            </w:r>
          </w:p>
        </w:tc>
        <w:tc>
          <w:tcPr>
            <w:tcW w:w="0" w:type="auto"/>
            <w:vAlign w:val="center"/>
            <w:hideMark/>
          </w:tcPr>
          <w:p w:rsidR="00000000" w:rsidRDefault="00501E77">
            <w:pPr>
              <w:pStyle w:val="Normlnywebov"/>
            </w:pPr>
            <w:r>
              <w:t>Ministerstvo financií SR</w:t>
            </w:r>
          </w:p>
        </w:tc>
      </w:tr>
      <w:tr w:rsidR="00000000">
        <w:trPr>
          <w:divId w:val="900556086"/>
          <w:cantSplit/>
          <w:tblCellSpacing w:w="15" w:type="dxa"/>
        </w:trPr>
        <w:tc>
          <w:tcPr>
            <w:tcW w:w="0" w:type="auto"/>
            <w:vAlign w:val="center"/>
            <w:hideMark/>
          </w:tcPr>
          <w:p w:rsidR="00000000" w:rsidRDefault="00501E77">
            <w:pPr>
              <w:pStyle w:val="Normlnywebov"/>
            </w:pPr>
            <w:r>
              <w:t>MH SR</w:t>
            </w:r>
          </w:p>
        </w:tc>
        <w:tc>
          <w:tcPr>
            <w:tcW w:w="0" w:type="auto"/>
            <w:vAlign w:val="center"/>
            <w:hideMark/>
          </w:tcPr>
          <w:p w:rsidR="00000000" w:rsidRDefault="00501E77">
            <w:pPr>
              <w:pStyle w:val="Normlnywebov"/>
            </w:pPr>
            <w:r>
              <w:t>Ministerstvo hospodárstva SR</w:t>
            </w:r>
          </w:p>
        </w:tc>
      </w:tr>
      <w:tr w:rsidR="00000000">
        <w:trPr>
          <w:divId w:val="900556086"/>
          <w:cantSplit/>
          <w:tblCellSpacing w:w="15" w:type="dxa"/>
        </w:trPr>
        <w:tc>
          <w:tcPr>
            <w:tcW w:w="0" w:type="auto"/>
            <w:vAlign w:val="center"/>
            <w:hideMark/>
          </w:tcPr>
          <w:p w:rsidR="00000000" w:rsidRDefault="00501E77">
            <w:pPr>
              <w:pStyle w:val="Normlnywebov"/>
            </w:pPr>
            <w:r>
              <w:t>MK SR</w:t>
            </w:r>
          </w:p>
        </w:tc>
        <w:tc>
          <w:tcPr>
            <w:tcW w:w="0" w:type="auto"/>
            <w:vAlign w:val="center"/>
            <w:hideMark/>
          </w:tcPr>
          <w:p w:rsidR="00000000" w:rsidRDefault="00501E77">
            <w:pPr>
              <w:pStyle w:val="Normlnywebov"/>
            </w:pPr>
            <w:r>
              <w:t>Ministerstvo kultúry SR</w:t>
            </w:r>
          </w:p>
        </w:tc>
      </w:tr>
      <w:tr w:rsidR="00000000">
        <w:trPr>
          <w:divId w:val="900556086"/>
          <w:cantSplit/>
          <w:tblCellSpacing w:w="15" w:type="dxa"/>
        </w:trPr>
        <w:tc>
          <w:tcPr>
            <w:tcW w:w="0" w:type="auto"/>
            <w:vAlign w:val="center"/>
            <w:hideMark/>
          </w:tcPr>
          <w:p w:rsidR="00000000" w:rsidRDefault="00501E77">
            <w:pPr>
              <w:pStyle w:val="Normlnywebov"/>
            </w:pPr>
            <w:r>
              <w:t>MO SR</w:t>
            </w:r>
          </w:p>
        </w:tc>
        <w:tc>
          <w:tcPr>
            <w:tcW w:w="0" w:type="auto"/>
            <w:vAlign w:val="center"/>
            <w:hideMark/>
          </w:tcPr>
          <w:p w:rsidR="00000000" w:rsidRDefault="00501E77">
            <w:pPr>
              <w:pStyle w:val="Normlnywebov"/>
            </w:pPr>
            <w:r>
              <w:t>Ministerstvo obrany SR</w:t>
            </w:r>
          </w:p>
        </w:tc>
      </w:tr>
      <w:tr w:rsidR="00000000">
        <w:trPr>
          <w:divId w:val="900556086"/>
          <w:cantSplit/>
          <w:tblCellSpacing w:w="15" w:type="dxa"/>
        </w:trPr>
        <w:tc>
          <w:tcPr>
            <w:tcW w:w="0" w:type="auto"/>
            <w:vAlign w:val="center"/>
            <w:hideMark/>
          </w:tcPr>
          <w:p w:rsidR="00000000" w:rsidRDefault="00501E77">
            <w:pPr>
              <w:pStyle w:val="Normlnywebov"/>
            </w:pPr>
            <w:r>
              <w:t>MPRV</w:t>
            </w:r>
          </w:p>
        </w:tc>
        <w:tc>
          <w:tcPr>
            <w:tcW w:w="0" w:type="auto"/>
            <w:vAlign w:val="center"/>
            <w:hideMark/>
          </w:tcPr>
          <w:p w:rsidR="00000000" w:rsidRDefault="00501E77">
            <w:pPr>
              <w:pStyle w:val="Normlnywebov"/>
            </w:pPr>
            <w:r>
              <w:t>Ministerstvo pôdohospodárstva a rozvoja vidieka SR</w:t>
            </w:r>
          </w:p>
        </w:tc>
      </w:tr>
      <w:tr w:rsidR="00000000">
        <w:trPr>
          <w:divId w:val="900556086"/>
          <w:cantSplit/>
          <w:tblCellSpacing w:w="15" w:type="dxa"/>
        </w:trPr>
        <w:tc>
          <w:tcPr>
            <w:tcW w:w="0" w:type="auto"/>
            <w:vAlign w:val="center"/>
            <w:hideMark/>
          </w:tcPr>
          <w:p w:rsidR="00000000" w:rsidRDefault="00501E77">
            <w:pPr>
              <w:pStyle w:val="Normlnywebov"/>
            </w:pPr>
            <w:r>
              <w:t>MPSVaR SR</w:t>
            </w:r>
          </w:p>
        </w:tc>
        <w:tc>
          <w:tcPr>
            <w:tcW w:w="0" w:type="auto"/>
            <w:vAlign w:val="center"/>
            <w:hideMark/>
          </w:tcPr>
          <w:p w:rsidR="00000000" w:rsidRDefault="00501E77">
            <w:pPr>
              <w:pStyle w:val="Normlnywebov"/>
            </w:pPr>
            <w:r>
              <w:t>Ministerstvo práce, sociálnych vecí a rodiny SR</w:t>
            </w:r>
          </w:p>
        </w:tc>
      </w:tr>
      <w:tr w:rsidR="00000000">
        <w:trPr>
          <w:divId w:val="900556086"/>
          <w:cantSplit/>
          <w:tblCellSpacing w:w="15" w:type="dxa"/>
        </w:trPr>
        <w:tc>
          <w:tcPr>
            <w:tcW w:w="0" w:type="auto"/>
            <w:vAlign w:val="center"/>
            <w:hideMark/>
          </w:tcPr>
          <w:p w:rsidR="00000000" w:rsidRDefault="00501E77">
            <w:pPr>
              <w:pStyle w:val="Normlnywebov"/>
            </w:pPr>
            <w:r>
              <w:t>MS SR</w:t>
            </w:r>
          </w:p>
        </w:tc>
        <w:tc>
          <w:tcPr>
            <w:tcW w:w="0" w:type="auto"/>
            <w:vAlign w:val="center"/>
            <w:hideMark/>
          </w:tcPr>
          <w:p w:rsidR="00000000" w:rsidRDefault="00501E77">
            <w:pPr>
              <w:pStyle w:val="Normlnywebov"/>
            </w:pPr>
            <w:r>
              <w:t>Ministerstvo spravodlivosti SR</w:t>
            </w:r>
          </w:p>
        </w:tc>
      </w:tr>
      <w:tr w:rsidR="00000000">
        <w:trPr>
          <w:divId w:val="900556086"/>
          <w:cantSplit/>
          <w:tblCellSpacing w:w="15" w:type="dxa"/>
        </w:trPr>
        <w:tc>
          <w:tcPr>
            <w:tcW w:w="0" w:type="auto"/>
            <w:vAlign w:val="center"/>
            <w:hideMark/>
          </w:tcPr>
          <w:p w:rsidR="00000000" w:rsidRDefault="00501E77">
            <w:pPr>
              <w:pStyle w:val="Normlnywebov"/>
            </w:pPr>
            <w:r>
              <w:t>MŠVVaŠ SR</w:t>
            </w:r>
          </w:p>
        </w:tc>
        <w:tc>
          <w:tcPr>
            <w:tcW w:w="0" w:type="auto"/>
            <w:vAlign w:val="center"/>
            <w:hideMark/>
          </w:tcPr>
          <w:p w:rsidR="00000000" w:rsidRDefault="00501E77">
            <w:pPr>
              <w:pStyle w:val="Normlnywebov"/>
            </w:pPr>
            <w:r>
              <w:t>Ministerstvo školstva, vedy, výskumu a športu SR</w:t>
            </w:r>
          </w:p>
        </w:tc>
      </w:tr>
      <w:tr w:rsidR="00000000">
        <w:trPr>
          <w:divId w:val="900556086"/>
          <w:cantSplit/>
          <w:tblCellSpacing w:w="15" w:type="dxa"/>
        </w:trPr>
        <w:tc>
          <w:tcPr>
            <w:tcW w:w="0" w:type="auto"/>
            <w:vAlign w:val="center"/>
            <w:hideMark/>
          </w:tcPr>
          <w:p w:rsidR="00000000" w:rsidRDefault="00501E77">
            <w:pPr>
              <w:pStyle w:val="Normlnywebov"/>
            </w:pPr>
            <w:r>
              <w:t>MV SR</w:t>
            </w:r>
          </w:p>
        </w:tc>
        <w:tc>
          <w:tcPr>
            <w:tcW w:w="0" w:type="auto"/>
            <w:vAlign w:val="center"/>
            <w:hideMark/>
          </w:tcPr>
          <w:p w:rsidR="00000000" w:rsidRDefault="00501E77">
            <w:pPr>
              <w:pStyle w:val="Normlnywebov"/>
            </w:pPr>
            <w:r>
              <w:t>Ministerstvo vnútra SR</w:t>
            </w:r>
          </w:p>
        </w:tc>
      </w:tr>
      <w:tr w:rsidR="00000000">
        <w:trPr>
          <w:divId w:val="900556086"/>
          <w:cantSplit/>
          <w:tblCellSpacing w:w="15" w:type="dxa"/>
        </w:trPr>
        <w:tc>
          <w:tcPr>
            <w:tcW w:w="0" w:type="auto"/>
            <w:vAlign w:val="center"/>
            <w:hideMark/>
          </w:tcPr>
          <w:p w:rsidR="00000000" w:rsidRDefault="00501E77">
            <w:pPr>
              <w:pStyle w:val="Normlnywebov"/>
            </w:pPr>
            <w:r>
              <w:t>MZ SR</w:t>
            </w:r>
          </w:p>
        </w:tc>
        <w:tc>
          <w:tcPr>
            <w:tcW w:w="0" w:type="auto"/>
            <w:vAlign w:val="center"/>
            <w:hideMark/>
          </w:tcPr>
          <w:p w:rsidR="00000000" w:rsidRDefault="00501E77">
            <w:pPr>
              <w:pStyle w:val="Normlnywebov"/>
            </w:pPr>
            <w:r>
              <w:t>Ministerstvo zdravotníctva SR</w:t>
            </w:r>
          </w:p>
        </w:tc>
      </w:tr>
      <w:tr w:rsidR="00000000">
        <w:trPr>
          <w:divId w:val="900556086"/>
          <w:cantSplit/>
          <w:tblCellSpacing w:w="15" w:type="dxa"/>
        </w:trPr>
        <w:tc>
          <w:tcPr>
            <w:tcW w:w="0" w:type="auto"/>
            <w:vAlign w:val="center"/>
            <w:hideMark/>
          </w:tcPr>
          <w:p w:rsidR="00000000" w:rsidRDefault="00501E77">
            <w:pPr>
              <w:pStyle w:val="Normlnywebov"/>
            </w:pPr>
            <w:r>
              <w:t>MZVEZ SR</w:t>
            </w:r>
          </w:p>
        </w:tc>
        <w:tc>
          <w:tcPr>
            <w:tcW w:w="0" w:type="auto"/>
            <w:vAlign w:val="center"/>
            <w:hideMark/>
          </w:tcPr>
          <w:p w:rsidR="00000000" w:rsidRDefault="00501E77">
            <w:pPr>
              <w:pStyle w:val="Normlnywebov"/>
            </w:pPr>
            <w:r>
              <w:t>Ministerstvo zahraničných vecí a európskych záležitostí SR</w:t>
            </w:r>
          </w:p>
        </w:tc>
      </w:tr>
      <w:tr w:rsidR="00000000">
        <w:trPr>
          <w:divId w:val="900556086"/>
          <w:cantSplit/>
          <w:tblCellSpacing w:w="15" w:type="dxa"/>
        </w:trPr>
        <w:tc>
          <w:tcPr>
            <w:tcW w:w="0" w:type="auto"/>
            <w:vAlign w:val="center"/>
            <w:hideMark/>
          </w:tcPr>
          <w:p w:rsidR="00000000" w:rsidRDefault="00501E77">
            <w:pPr>
              <w:pStyle w:val="Normlnywebov"/>
            </w:pPr>
            <w:r>
              <w:t>MŽP SR</w:t>
            </w:r>
          </w:p>
        </w:tc>
        <w:tc>
          <w:tcPr>
            <w:tcW w:w="0" w:type="auto"/>
            <w:vAlign w:val="center"/>
            <w:hideMark/>
          </w:tcPr>
          <w:p w:rsidR="00000000" w:rsidRDefault="00501E77">
            <w:pPr>
              <w:pStyle w:val="Normlnywebov"/>
            </w:pPr>
            <w:r>
              <w:t>Ministerstvo životného prostredia SR</w:t>
            </w:r>
          </w:p>
        </w:tc>
      </w:tr>
      <w:tr w:rsidR="00000000">
        <w:trPr>
          <w:divId w:val="900556086"/>
          <w:cantSplit/>
          <w:tblCellSpacing w:w="15" w:type="dxa"/>
        </w:trPr>
        <w:tc>
          <w:tcPr>
            <w:tcW w:w="0" w:type="auto"/>
            <w:vAlign w:val="center"/>
            <w:hideMark/>
          </w:tcPr>
          <w:p w:rsidR="00000000" w:rsidRDefault="00501E77">
            <w:pPr>
              <w:pStyle w:val="Normlnywebov"/>
            </w:pPr>
            <w:r>
              <w:t>NEET</w:t>
            </w:r>
          </w:p>
        </w:tc>
        <w:tc>
          <w:tcPr>
            <w:tcW w:w="0" w:type="auto"/>
            <w:vAlign w:val="center"/>
            <w:hideMark/>
          </w:tcPr>
          <w:p w:rsidR="00000000" w:rsidRDefault="00501E77">
            <w:pPr>
              <w:pStyle w:val="Normlnywebov"/>
            </w:pPr>
            <w:r>
              <w:t>Mladý ZUoZ do 29. roku života</w:t>
            </w:r>
          </w:p>
        </w:tc>
      </w:tr>
      <w:tr w:rsidR="00000000">
        <w:trPr>
          <w:divId w:val="900556086"/>
          <w:cantSplit/>
          <w:tblCellSpacing w:w="15" w:type="dxa"/>
        </w:trPr>
        <w:tc>
          <w:tcPr>
            <w:tcW w:w="0" w:type="auto"/>
            <w:vAlign w:val="center"/>
            <w:hideMark/>
          </w:tcPr>
          <w:p w:rsidR="00000000" w:rsidRDefault="00501E77">
            <w:pPr>
              <w:pStyle w:val="Normlnywebov"/>
            </w:pPr>
            <w:r>
              <w:t>NFP</w:t>
            </w:r>
          </w:p>
        </w:tc>
        <w:tc>
          <w:tcPr>
            <w:tcW w:w="0" w:type="auto"/>
            <w:vAlign w:val="center"/>
            <w:hideMark/>
          </w:tcPr>
          <w:p w:rsidR="00000000" w:rsidRDefault="00501E77">
            <w:pPr>
              <w:pStyle w:val="Normlnywebov"/>
            </w:pPr>
            <w:r>
              <w:t>Nenávratný finančný príspevok</w:t>
            </w:r>
          </w:p>
        </w:tc>
      </w:tr>
      <w:tr w:rsidR="00000000">
        <w:trPr>
          <w:divId w:val="900556086"/>
          <w:cantSplit/>
          <w:tblCellSpacing w:w="15" w:type="dxa"/>
        </w:trPr>
        <w:tc>
          <w:tcPr>
            <w:tcW w:w="0" w:type="auto"/>
            <w:vAlign w:val="center"/>
            <w:hideMark/>
          </w:tcPr>
          <w:p w:rsidR="00000000" w:rsidRDefault="00501E77">
            <w:pPr>
              <w:pStyle w:val="Normlnywebov"/>
            </w:pPr>
            <w:r>
              <w:t>NKIVS</w:t>
            </w:r>
          </w:p>
        </w:tc>
        <w:tc>
          <w:tcPr>
            <w:tcW w:w="0" w:type="auto"/>
            <w:vAlign w:val="center"/>
            <w:hideMark/>
          </w:tcPr>
          <w:p w:rsidR="00000000" w:rsidRDefault="00501E77">
            <w:pPr>
              <w:pStyle w:val="Normlnywebov"/>
            </w:pPr>
            <w:r>
              <w:t>Národná koncepcia informatizácie verejnej správy</w:t>
            </w:r>
          </w:p>
        </w:tc>
      </w:tr>
      <w:tr w:rsidR="00000000">
        <w:trPr>
          <w:divId w:val="900556086"/>
          <w:cantSplit/>
          <w:tblCellSpacing w:w="15" w:type="dxa"/>
        </w:trPr>
        <w:tc>
          <w:tcPr>
            <w:tcW w:w="0" w:type="auto"/>
            <w:vAlign w:val="center"/>
            <w:hideMark/>
          </w:tcPr>
          <w:p w:rsidR="00000000" w:rsidRDefault="00501E77">
            <w:pPr>
              <w:pStyle w:val="Normlnywebov"/>
            </w:pPr>
            <w:r>
              <w:t>OP EVS</w:t>
            </w:r>
          </w:p>
        </w:tc>
        <w:tc>
          <w:tcPr>
            <w:tcW w:w="0" w:type="auto"/>
            <w:vAlign w:val="center"/>
            <w:hideMark/>
          </w:tcPr>
          <w:p w:rsidR="00000000" w:rsidRDefault="00501E77">
            <w:pPr>
              <w:pStyle w:val="Normlnywebov"/>
            </w:pPr>
            <w:r>
              <w:t>Operačný program Efektívna verejná správa</w:t>
            </w:r>
          </w:p>
        </w:tc>
      </w:tr>
      <w:tr w:rsidR="00000000">
        <w:trPr>
          <w:divId w:val="900556086"/>
          <w:cantSplit/>
          <w:tblCellSpacing w:w="15" w:type="dxa"/>
        </w:trPr>
        <w:tc>
          <w:tcPr>
            <w:tcW w:w="0" w:type="auto"/>
            <w:vAlign w:val="center"/>
            <w:hideMark/>
          </w:tcPr>
          <w:p w:rsidR="00000000" w:rsidRDefault="00501E77">
            <w:pPr>
              <w:pStyle w:val="Normlnywebov"/>
            </w:pPr>
            <w:r>
              <w:t>OP II</w:t>
            </w:r>
          </w:p>
        </w:tc>
        <w:tc>
          <w:tcPr>
            <w:tcW w:w="0" w:type="auto"/>
            <w:vAlign w:val="center"/>
            <w:hideMark/>
          </w:tcPr>
          <w:p w:rsidR="00000000" w:rsidRDefault="00501E77">
            <w:pPr>
              <w:pStyle w:val="Normlnywebov"/>
            </w:pPr>
            <w:r>
              <w:t>Operačný program Integrovaná infraš</w:t>
            </w:r>
            <w:r>
              <w:t>truktúra</w:t>
            </w:r>
          </w:p>
        </w:tc>
      </w:tr>
      <w:tr w:rsidR="00000000">
        <w:trPr>
          <w:divId w:val="900556086"/>
          <w:cantSplit/>
          <w:tblCellSpacing w:w="15" w:type="dxa"/>
        </w:trPr>
        <w:tc>
          <w:tcPr>
            <w:tcW w:w="0" w:type="auto"/>
            <w:vAlign w:val="center"/>
            <w:hideMark/>
          </w:tcPr>
          <w:p w:rsidR="00000000" w:rsidRDefault="00501E77">
            <w:pPr>
              <w:pStyle w:val="Normlnywebov"/>
            </w:pPr>
            <w:r>
              <w:t>OPIS</w:t>
            </w:r>
          </w:p>
        </w:tc>
        <w:tc>
          <w:tcPr>
            <w:tcW w:w="0" w:type="auto"/>
            <w:vAlign w:val="center"/>
            <w:hideMark/>
          </w:tcPr>
          <w:p w:rsidR="00000000" w:rsidRDefault="00501E77">
            <w:pPr>
              <w:pStyle w:val="Normlnywebov"/>
            </w:pPr>
            <w:r>
              <w:t>Operačný program Informatizácia spoločnosti</w:t>
            </w:r>
          </w:p>
        </w:tc>
      </w:tr>
      <w:tr w:rsidR="00000000">
        <w:trPr>
          <w:divId w:val="900556086"/>
          <w:cantSplit/>
          <w:tblCellSpacing w:w="15" w:type="dxa"/>
        </w:trPr>
        <w:tc>
          <w:tcPr>
            <w:tcW w:w="0" w:type="auto"/>
            <w:vAlign w:val="center"/>
            <w:hideMark/>
          </w:tcPr>
          <w:p w:rsidR="00000000" w:rsidRDefault="00501E77">
            <w:pPr>
              <w:pStyle w:val="Normlnywebov"/>
            </w:pPr>
            <w:r>
              <w:t>OP ĽZ</w:t>
            </w:r>
          </w:p>
        </w:tc>
        <w:tc>
          <w:tcPr>
            <w:tcW w:w="0" w:type="auto"/>
            <w:vAlign w:val="center"/>
            <w:hideMark/>
          </w:tcPr>
          <w:p w:rsidR="00000000" w:rsidRDefault="00501E77">
            <w:pPr>
              <w:pStyle w:val="Normlnywebov"/>
            </w:pPr>
            <w:r>
              <w:t>Operačný program Ľudské zdroje</w:t>
            </w:r>
          </w:p>
        </w:tc>
      </w:tr>
      <w:tr w:rsidR="00000000">
        <w:trPr>
          <w:divId w:val="900556086"/>
          <w:cantSplit/>
          <w:tblCellSpacing w:w="15" w:type="dxa"/>
        </w:trPr>
        <w:tc>
          <w:tcPr>
            <w:tcW w:w="0" w:type="auto"/>
            <w:vAlign w:val="center"/>
            <w:hideMark/>
          </w:tcPr>
          <w:p w:rsidR="00000000" w:rsidRDefault="00501E77">
            <w:pPr>
              <w:pStyle w:val="Normlnywebov"/>
            </w:pPr>
            <w:r>
              <w:t>OvZP</w:t>
            </w:r>
          </w:p>
        </w:tc>
        <w:tc>
          <w:tcPr>
            <w:tcW w:w="0" w:type="auto"/>
            <w:vAlign w:val="center"/>
            <w:hideMark/>
          </w:tcPr>
          <w:p w:rsidR="00000000" w:rsidRDefault="00501E77">
            <w:pPr>
              <w:pStyle w:val="Normlnywebov"/>
            </w:pPr>
            <w:r>
              <w:t>Organizácie v zriaďovateľskej pôsobnosti</w:t>
            </w:r>
          </w:p>
        </w:tc>
      </w:tr>
      <w:tr w:rsidR="00000000">
        <w:trPr>
          <w:divId w:val="900556086"/>
          <w:cantSplit/>
          <w:tblCellSpacing w:w="15" w:type="dxa"/>
        </w:trPr>
        <w:tc>
          <w:tcPr>
            <w:tcW w:w="0" w:type="auto"/>
            <w:vAlign w:val="center"/>
            <w:hideMark/>
          </w:tcPr>
          <w:p w:rsidR="00000000" w:rsidRDefault="00501E77">
            <w:pPr>
              <w:pStyle w:val="Normlnywebov"/>
            </w:pPr>
            <w:r>
              <w:t>PaaS</w:t>
            </w:r>
          </w:p>
        </w:tc>
        <w:tc>
          <w:tcPr>
            <w:tcW w:w="0" w:type="auto"/>
            <w:vAlign w:val="center"/>
            <w:hideMark/>
          </w:tcPr>
          <w:p w:rsidR="00000000" w:rsidRDefault="00501E77">
            <w:pPr>
              <w:pStyle w:val="Normlnywebov"/>
            </w:pPr>
            <w:r>
              <w:t>Platform-as-a-Service (platforma ako služba)</w:t>
            </w:r>
          </w:p>
        </w:tc>
      </w:tr>
      <w:tr w:rsidR="00000000">
        <w:trPr>
          <w:divId w:val="900556086"/>
          <w:cantSplit/>
          <w:tblCellSpacing w:w="15" w:type="dxa"/>
        </w:trPr>
        <w:tc>
          <w:tcPr>
            <w:tcW w:w="0" w:type="auto"/>
            <w:vAlign w:val="center"/>
            <w:hideMark/>
          </w:tcPr>
          <w:p w:rsidR="00000000" w:rsidRDefault="00501E77">
            <w:pPr>
              <w:pStyle w:val="Normlnywebov"/>
            </w:pPr>
            <w:r>
              <w:t>PO7</w:t>
            </w:r>
          </w:p>
        </w:tc>
        <w:tc>
          <w:tcPr>
            <w:tcW w:w="0" w:type="auto"/>
            <w:vAlign w:val="center"/>
            <w:hideMark/>
          </w:tcPr>
          <w:p w:rsidR="00000000" w:rsidRDefault="00501E77">
            <w:pPr>
              <w:pStyle w:val="Normlnywebov"/>
            </w:pPr>
            <w:r>
              <w:t>Prioritná os 7</w:t>
            </w:r>
          </w:p>
        </w:tc>
      </w:tr>
      <w:tr w:rsidR="00000000">
        <w:trPr>
          <w:divId w:val="900556086"/>
          <w:cantSplit/>
          <w:tblCellSpacing w:w="15" w:type="dxa"/>
        </w:trPr>
        <w:tc>
          <w:tcPr>
            <w:tcW w:w="0" w:type="auto"/>
            <w:vAlign w:val="center"/>
            <w:hideMark/>
          </w:tcPr>
          <w:p w:rsidR="00000000" w:rsidRDefault="00501E77">
            <w:pPr>
              <w:pStyle w:val="Normlnywebov"/>
            </w:pPr>
            <w:r>
              <w:t>RIS</w:t>
            </w:r>
          </w:p>
        </w:tc>
        <w:tc>
          <w:tcPr>
            <w:tcW w:w="0" w:type="auto"/>
            <w:vAlign w:val="center"/>
            <w:hideMark/>
          </w:tcPr>
          <w:p w:rsidR="00000000" w:rsidRDefault="00501E77">
            <w:pPr>
              <w:pStyle w:val="Normlnywebov"/>
            </w:pPr>
            <w:r>
              <w:t>Rozpočtový informačný systém</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RÚZ</w:t>
            </w:r>
          </w:p>
        </w:tc>
        <w:tc>
          <w:tcPr>
            <w:tcW w:w="0" w:type="auto"/>
            <w:vAlign w:val="center"/>
            <w:hideMark/>
          </w:tcPr>
          <w:p w:rsidR="00000000" w:rsidRDefault="00501E77">
            <w:pPr>
              <w:rPr>
                <w:rFonts w:eastAsia="Times New Roman"/>
              </w:rPr>
            </w:pPr>
            <w:r>
              <w:rPr>
                <w:rFonts w:eastAsia="Times New Roman"/>
              </w:rPr>
              <w:t>Republiková únia zamestnávateľov</w:t>
            </w:r>
          </w:p>
        </w:tc>
      </w:tr>
      <w:tr w:rsidR="00000000">
        <w:trPr>
          <w:divId w:val="900556086"/>
          <w:cantSplit/>
          <w:tblCellSpacing w:w="15" w:type="dxa"/>
        </w:trPr>
        <w:tc>
          <w:tcPr>
            <w:tcW w:w="0" w:type="auto"/>
            <w:vAlign w:val="center"/>
            <w:hideMark/>
          </w:tcPr>
          <w:p w:rsidR="00000000" w:rsidRDefault="00501E77">
            <w:pPr>
              <w:pStyle w:val="Normlnywebov"/>
            </w:pPr>
            <w:r>
              <w:t>SaaS</w:t>
            </w:r>
          </w:p>
        </w:tc>
        <w:tc>
          <w:tcPr>
            <w:tcW w:w="0" w:type="auto"/>
            <w:vAlign w:val="center"/>
            <w:hideMark/>
          </w:tcPr>
          <w:p w:rsidR="00000000" w:rsidRDefault="00501E77">
            <w:pPr>
              <w:pStyle w:val="Normlnywebov"/>
            </w:pPr>
            <w:r>
              <w:t>Software-as-a-Service (softvér ako služba)</w:t>
            </w:r>
          </w:p>
        </w:tc>
      </w:tr>
      <w:tr w:rsidR="00000000">
        <w:trPr>
          <w:divId w:val="900556086"/>
          <w:cantSplit/>
          <w:tblCellSpacing w:w="15" w:type="dxa"/>
        </w:trPr>
        <w:tc>
          <w:tcPr>
            <w:tcW w:w="0" w:type="auto"/>
            <w:vAlign w:val="center"/>
            <w:hideMark/>
          </w:tcPr>
          <w:p w:rsidR="00000000" w:rsidRDefault="00501E77">
            <w:pPr>
              <w:pStyle w:val="Normlnywebov"/>
            </w:pPr>
            <w:r>
              <w:t>SLA</w:t>
            </w:r>
          </w:p>
        </w:tc>
        <w:tc>
          <w:tcPr>
            <w:tcW w:w="0" w:type="auto"/>
            <w:vAlign w:val="center"/>
            <w:hideMark/>
          </w:tcPr>
          <w:p w:rsidR="00000000" w:rsidRDefault="00501E77">
            <w:pPr>
              <w:pStyle w:val="Normlnywebov"/>
            </w:pPr>
            <w:r>
              <w:t>Dohoda o úrovni poskytovaných služieb (service level agreement - SLA)</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STU</w:t>
            </w:r>
          </w:p>
        </w:tc>
        <w:tc>
          <w:tcPr>
            <w:tcW w:w="0" w:type="auto"/>
            <w:vAlign w:val="center"/>
            <w:hideMark/>
          </w:tcPr>
          <w:p w:rsidR="00000000" w:rsidRDefault="00501E77">
            <w:pPr>
              <w:rPr>
                <w:rFonts w:eastAsia="Times New Roman"/>
              </w:rPr>
            </w:pPr>
            <w:r>
              <w:rPr>
                <w:rFonts w:eastAsia="Times New Roman"/>
              </w:rPr>
              <w:t>Slovenská technická univerzita</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ŠIOV</w:t>
            </w:r>
          </w:p>
        </w:tc>
        <w:tc>
          <w:tcPr>
            <w:tcW w:w="0" w:type="auto"/>
            <w:vAlign w:val="center"/>
            <w:hideMark/>
          </w:tcPr>
          <w:p w:rsidR="00000000" w:rsidRDefault="00501E77">
            <w:pPr>
              <w:rPr>
                <w:rFonts w:eastAsia="Times New Roman"/>
              </w:rPr>
            </w:pPr>
            <w:r>
              <w:rPr>
                <w:rFonts w:eastAsia="Times New Roman"/>
              </w:rPr>
              <w:t>Štátny inštitút odborného vzdelávania</w:t>
            </w:r>
          </w:p>
        </w:tc>
      </w:tr>
      <w:tr w:rsidR="00000000">
        <w:trPr>
          <w:divId w:val="900556086"/>
          <w:cantSplit/>
          <w:tblCellSpacing w:w="15" w:type="dxa"/>
        </w:trPr>
        <w:tc>
          <w:tcPr>
            <w:tcW w:w="0" w:type="auto"/>
            <w:vAlign w:val="center"/>
            <w:hideMark/>
          </w:tcPr>
          <w:p w:rsidR="00000000" w:rsidRDefault="00501E77">
            <w:pPr>
              <w:pStyle w:val="Normlnywebov"/>
            </w:pPr>
            <w:r>
              <w:t>TCO</w:t>
            </w:r>
          </w:p>
        </w:tc>
        <w:tc>
          <w:tcPr>
            <w:tcW w:w="0" w:type="auto"/>
            <w:vAlign w:val="center"/>
            <w:hideMark/>
          </w:tcPr>
          <w:p w:rsidR="00000000" w:rsidRDefault="00501E77">
            <w:pPr>
              <w:pStyle w:val="Normlnywebov"/>
            </w:pPr>
            <w:r>
              <w:t>Celkové náklady na vlastníctvo (total costs of ownership - TCO)</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TUKE</w:t>
            </w:r>
          </w:p>
        </w:tc>
        <w:tc>
          <w:tcPr>
            <w:tcW w:w="0" w:type="auto"/>
            <w:vAlign w:val="center"/>
            <w:hideMark/>
          </w:tcPr>
          <w:p w:rsidR="00000000" w:rsidRDefault="00501E77">
            <w:pPr>
              <w:rPr>
                <w:rFonts w:eastAsia="Times New Roman"/>
              </w:rPr>
            </w:pPr>
            <w:r>
              <w:rPr>
                <w:rFonts w:eastAsia="Times New Roman"/>
              </w:rPr>
              <w:t>Technická univerzita Košice</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ÚPSVaR</w:t>
            </w:r>
          </w:p>
        </w:tc>
        <w:tc>
          <w:tcPr>
            <w:tcW w:w="0" w:type="auto"/>
            <w:vAlign w:val="center"/>
            <w:hideMark/>
          </w:tcPr>
          <w:p w:rsidR="00000000" w:rsidRDefault="00501E77">
            <w:pPr>
              <w:rPr>
                <w:rFonts w:eastAsia="Times New Roman"/>
              </w:rPr>
            </w:pPr>
            <w:r>
              <w:rPr>
                <w:rFonts w:eastAsia="Times New Roman"/>
              </w:rPr>
              <w:t>Ústredie práce, sociálnych vecí a rodiny</w:t>
            </w:r>
          </w:p>
        </w:tc>
      </w:tr>
      <w:tr w:rsidR="00000000">
        <w:trPr>
          <w:divId w:val="900556086"/>
          <w:cantSplit/>
          <w:tblCellSpacing w:w="15" w:type="dxa"/>
        </w:trPr>
        <w:tc>
          <w:tcPr>
            <w:tcW w:w="0" w:type="auto"/>
            <w:vAlign w:val="center"/>
            <w:hideMark/>
          </w:tcPr>
          <w:p w:rsidR="00000000" w:rsidRDefault="00501E77">
            <w:pPr>
              <w:pStyle w:val="Normlnywebov"/>
            </w:pPr>
            <w:r>
              <w:rPr>
                <w:rStyle w:val="inline-comment-marker"/>
              </w:rPr>
              <w:t>ÚPPVII</w:t>
            </w:r>
            <w:r>
              <w:br/>
            </w:r>
          </w:p>
        </w:tc>
        <w:tc>
          <w:tcPr>
            <w:tcW w:w="0" w:type="auto"/>
            <w:vAlign w:val="center"/>
            <w:hideMark/>
          </w:tcPr>
          <w:p w:rsidR="00000000" w:rsidRDefault="00501E77">
            <w:pPr>
              <w:pStyle w:val="Normlnywebov"/>
            </w:pPr>
            <w:r>
              <w:t>Úrad podpredsedu vlády SR pre investície a informatizáciu</w:t>
            </w:r>
          </w:p>
        </w:tc>
      </w:tr>
      <w:tr w:rsidR="00000000">
        <w:trPr>
          <w:divId w:val="900556086"/>
          <w:cantSplit/>
          <w:tblCellSpacing w:w="15" w:type="dxa"/>
        </w:trPr>
        <w:tc>
          <w:tcPr>
            <w:tcW w:w="0" w:type="auto"/>
            <w:vAlign w:val="center"/>
            <w:hideMark/>
          </w:tcPr>
          <w:p w:rsidR="00000000" w:rsidRDefault="00501E77">
            <w:pPr>
              <w:pStyle w:val="Normlnywebov"/>
            </w:pPr>
            <w:r>
              <w:t>ÚV SR</w:t>
            </w:r>
          </w:p>
        </w:tc>
        <w:tc>
          <w:tcPr>
            <w:tcW w:w="0" w:type="auto"/>
            <w:vAlign w:val="center"/>
            <w:hideMark/>
          </w:tcPr>
          <w:p w:rsidR="00000000" w:rsidRDefault="00501E77">
            <w:pPr>
              <w:pStyle w:val="Normlnywebov"/>
            </w:pPr>
            <w:r>
              <w:t>Úrad vlády SR</w:t>
            </w:r>
          </w:p>
        </w:tc>
      </w:tr>
      <w:tr w:rsidR="00000000">
        <w:trPr>
          <w:divId w:val="900556086"/>
          <w:cantSplit/>
          <w:tblCellSpacing w:w="15" w:type="dxa"/>
        </w:trPr>
        <w:tc>
          <w:tcPr>
            <w:tcW w:w="0" w:type="auto"/>
            <w:vAlign w:val="center"/>
            <w:hideMark/>
          </w:tcPr>
          <w:p w:rsidR="00000000" w:rsidRDefault="00501E77">
            <w:pPr>
              <w:pStyle w:val="Normlnywebov"/>
            </w:pPr>
            <w:r>
              <w:t>VS</w:t>
            </w:r>
          </w:p>
        </w:tc>
        <w:tc>
          <w:tcPr>
            <w:tcW w:w="0" w:type="auto"/>
            <w:vAlign w:val="center"/>
            <w:hideMark/>
          </w:tcPr>
          <w:p w:rsidR="00000000" w:rsidRDefault="00501E77">
            <w:pPr>
              <w:pStyle w:val="Normlnywebov"/>
            </w:pPr>
            <w:r>
              <w:t>Verejná správa</w:t>
            </w:r>
          </w:p>
        </w:tc>
      </w:tr>
      <w:tr w:rsidR="00000000">
        <w:trPr>
          <w:divId w:val="900556086"/>
          <w:cantSplit/>
          <w:tblCellSpacing w:w="15" w:type="dxa"/>
        </w:trPr>
        <w:tc>
          <w:tcPr>
            <w:tcW w:w="0" w:type="auto"/>
            <w:vAlign w:val="center"/>
            <w:hideMark/>
          </w:tcPr>
          <w:p w:rsidR="00000000" w:rsidRDefault="00501E77">
            <w:pPr>
              <w:pStyle w:val="Normlnywebov"/>
            </w:pPr>
            <w:r>
              <w:t>V</w:t>
            </w:r>
            <w:r>
              <w:t>ÚC</w:t>
            </w:r>
          </w:p>
        </w:tc>
        <w:tc>
          <w:tcPr>
            <w:tcW w:w="0" w:type="auto"/>
            <w:vAlign w:val="center"/>
            <w:hideMark/>
          </w:tcPr>
          <w:p w:rsidR="00000000" w:rsidRDefault="00501E77">
            <w:pPr>
              <w:pStyle w:val="Normlnywebov"/>
            </w:pPr>
            <w:r>
              <w:t>Vyšší územný celok</w:t>
            </w:r>
          </w:p>
        </w:tc>
      </w:tr>
      <w:tr w:rsidR="00000000">
        <w:trPr>
          <w:divId w:val="900556086"/>
          <w:cantSplit/>
          <w:tblCellSpacing w:w="15" w:type="dxa"/>
        </w:trPr>
        <w:tc>
          <w:tcPr>
            <w:tcW w:w="0" w:type="auto"/>
            <w:vAlign w:val="center"/>
            <w:hideMark/>
          </w:tcPr>
          <w:p w:rsidR="00000000" w:rsidRDefault="00501E77">
            <w:pPr>
              <w:pStyle w:val="Normlnywebov"/>
            </w:pPr>
            <w:r>
              <w:t>ZUoZ</w:t>
            </w:r>
          </w:p>
        </w:tc>
        <w:tc>
          <w:tcPr>
            <w:tcW w:w="0" w:type="auto"/>
            <w:vAlign w:val="center"/>
            <w:hideMark/>
          </w:tcPr>
          <w:p w:rsidR="00000000" w:rsidRDefault="00501E77">
            <w:pPr>
              <w:pStyle w:val="Normlnywebov"/>
            </w:pPr>
            <w:r>
              <w:t>Znevýhodnený uchádzač o zamestnanie</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NBÚ</w:t>
            </w:r>
          </w:p>
        </w:tc>
        <w:tc>
          <w:tcPr>
            <w:tcW w:w="0" w:type="auto"/>
            <w:vAlign w:val="center"/>
            <w:hideMark/>
          </w:tcPr>
          <w:p w:rsidR="00000000" w:rsidRDefault="00501E77">
            <w:pPr>
              <w:rPr>
                <w:rFonts w:eastAsia="Times New Roman"/>
              </w:rPr>
            </w:pPr>
            <w:r>
              <w:rPr>
                <w:rFonts w:eastAsia="Times New Roman"/>
              </w:rPr>
              <w:t>Národný bezpečnostný úrad</w:t>
            </w:r>
          </w:p>
        </w:tc>
      </w:tr>
      <w:tr w:rsidR="00000000">
        <w:trPr>
          <w:divId w:val="900556086"/>
          <w:cantSplit/>
          <w:tblCellSpacing w:w="15" w:type="dxa"/>
        </w:trPr>
        <w:tc>
          <w:tcPr>
            <w:tcW w:w="0" w:type="auto"/>
            <w:vAlign w:val="center"/>
            <w:hideMark/>
          </w:tcPr>
          <w:p w:rsidR="00000000" w:rsidRDefault="00501E77">
            <w:pPr>
              <w:rPr>
                <w:rFonts w:eastAsia="Times New Roman"/>
              </w:rPr>
            </w:pPr>
            <w:r>
              <w:rPr>
                <w:rFonts w:eastAsia="Times New Roman"/>
              </w:rPr>
              <w:t>ÚOOÚ</w:t>
            </w:r>
          </w:p>
        </w:tc>
        <w:tc>
          <w:tcPr>
            <w:tcW w:w="0" w:type="auto"/>
            <w:vAlign w:val="center"/>
            <w:hideMark/>
          </w:tcPr>
          <w:p w:rsidR="00000000" w:rsidRDefault="00501E77">
            <w:pPr>
              <w:rPr>
                <w:rFonts w:eastAsia="Times New Roman"/>
              </w:rPr>
            </w:pPr>
            <w:r>
              <w:rPr>
                <w:rFonts w:eastAsia="Times New Roman"/>
              </w:rPr>
              <w:t>Úrad na ochranu osobných údajov</w:t>
            </w:r>
          </w:p>
        </w:tc>
      </w:tr>
    </w:tbl>
    <w:p w:rsidR="00000000" w:rsidRDefault="00501E77">
      <w:pPr>
        <w:pStyle w:val="Nadpis1"/>
        <w:rPr>
          <w:rFonts w:eastAsia="Times New Roman"/>
        </w:rPr>
      </w:pPr>
      <w:r>
        <w:rPr>
          <w:rStyle w:val="inline-comment-marker"/>
          <w:rFonts w:eastAsia="Times New Roman"/>
        </w:rPr>
        <w:t>Manažérske zhrnuti</w:t>
      </w:r>
      <w:r>
        <w:rPr>
          <w:rStyle w:val="inline-comment-marker"/>
          <w:rFonts w:eastAsia="Times New Roman"/>
        </w:rPr>
        <w:t>e</w:t>
      </w:r>
    </w:p>
    <w:p w:rsidR="00000000" w:rsidRDefault="00501E77">
      <w:pPr>
        <w:pStyle w:val="Normlnywebov"/>
      </w:pPr>
      <w:r>
        <w:rPr>
          <w:rStyle w:val="Zvraznenie"/>
        </w:rPr>
        <w:t>Základné zhrnutie. Max 2400 znakov.</w:t>
      </w:r>
      <w:r>
        <w:t xml:space="preserve"> </w:t>
      </w:r>
      <w:r>
        <w:br/>
      </w:r>
      <w:r>
        <w:rPr>
          <w:rStyle w:val="Zvraznenie"/>
        </w:rPr>
        <w:t>Priestor pre sumárny obrázok, nepovinná informácia: ArchiMate štandardný viewpoint – „Introductory viewpoint"</w:t>
      </w:r>
    </w:p>
    <w:p w:rsidR="00000000" w:rsidRDefault="00501E77">
      <w:pPr>
        <w:pStyle w:val="Normlnywebov"/>
      </w:pPr>
      <w:r>
        <w:t>Predložená štúdia uskutočniteľnosti, v hodnote 8 395 670 € s DPH, navrhuje riešenie pre zavedenie centrálneho systému certifikácie úrovne  </w:t>
      </w:r>
      <w:r>
        <w:t>digitálnych kompetencií u občanov s dôrazom na znevýhodnených občanov. Pričom finančné prostriedky potrebné na jednotlivé aktivity v zmysle odporúčanej alternatívy E sú navrhnuté nasledovne:</w:t>
      </w:r>
    </w:p>
    <w:p w:rsidR="00000000" w:rsidRDefault="00501E77">
      <w:pPr>
        <w:pStyle w:val="Normlnywebov"/>
      </w:pPr>
      <w: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111049449"/>
          <w:cantSplit/>
          <w:tblCellSpacing w:w="15" w:type="dxa"/>
        </w:trPr>
        <w:tc>
          <w:tcPr>
            <w:tcW w:w="0" w:type="auto"/>
            <w:vAlign w:val="center"/>
            <w:hideMark/>
          </w:tcPr>
          <w:p w:rsidR="00000000" w:rsidRDefault="00501E77">
            <w:pPr>
              <w:pStyle w:val="Normlnywebov"/>
            </w:pPr>
            <w:r>
              <w:rPr>
                <w:rStyle w:val="Zvraznenie"/>
                <w:b/>
                <w:bCs/>
              </w:rPr>
              <w:t>Analýza a dizajn</w:t>
            </w:r>
          </w:p>
        </w:tc>
        <w:tc>
          <w:tcPr>
            <w:tcW w:w="0" w:type="auto"/>
            <w:vAlign w:val="center"/>
            <w:hideMark/>
          </w:tcPr>
          <w:p w:rsidR="00000000" w:rsidRDefault="00501E77">
            <w:pPr>
              <w:pStyle w:val="Normlnywebov"/>
              <w:jc w:val="right"/>
            </w:pPr>
            <w:r>
              <w:rPr>
                <w:rStyle w:val="Zvraznenie"/>
                <w:b/>
                <w:bCs/>
              </w:rPr>
              <w:t>1 812 000</w:t>
            </w:r>
          </w:p>
        </w:tc>
      </w:tr>
      <w:tr w:rsidR="00000000">
        <w:trPr>
          <w:divId w:val="1111049449"/>
          <w:cantSplit/>
          <w:tblCellSpacing w:w="15" w:type="dxa"/>
        </w:trPr>
        <w:tc>
          <w:tcPr>
            <w:tcW w:w="0" w:type="auto"/>
            <w:vAlign w:val="center"/>
            <w:hideMark/>
          </w:tcPr>
          <w:p w:rsidR="00000000" w:rsidRDefault="00501E77">
            <w:pPr>
              <w:pStyle w:val="Normlnywebov"/>
            </w:pPr>
            <w:r>
              <w:rPr>
                <w:rStyle w:val="Zvraznenie"/>
                <w:b/>
                <w:bCs/>
              </w:rPr>
              <w:t>Nákup HW a kr. softvéru</w:t>
            </w:r>
          </w:p>
        </w:tc>
        <w:tc>
          <w:tcPr>
            <w:tcW w:w="0" w:type="auto"/>
            <w:vAlign w:val="center"/>
            <w:hideMark/>
          </w:tcPr>
          <w:p w:rsidR="00000000" w:rsidRDefault="00501E77">
            <w:pPr>
              <w:pStyle w:val="Normlnywebov"/>
              <w:jc w:val="right"/>
            </w:pPr>
            <w:r>
              <w:rPr>
                <w:rStyle w:val="Zvraznenie"/>
                <w:b/>
                <w:bCs/>
              </w:rPr>
              <w:t>70 000</w:t>
            </w:r>
          </w:p>
        </w:tc>
      </w:tr>
      <w:tr w:rsidR="00000000">
        <w:trPr>
          <w:divId w:val="1111049449"/>
          <w:cantSplit/>
          <w:tblCellSpacing w:w="15" w:type="dxa"/>
        </w:trPr>
        <w:tc>
          <w:tcPr>
            <w:tcW w:w="0" w:type="auto"/>
            <w:vAlign w:val="center"/>
            <w:hideMark/>
          </w:tcPr>
          <w:p w:rsidR="00000000" w:rsidRDefault="00501E77">
            <w:pPr>
              <w:pStyle w:val="Normlnywebov"/>
            </w:pPr>
            <w:r>
              <w:rPr>
                <w:rStyle w:val="Zvraznenie"/>
                <w:b/>
                <w:bCs/>
              </w:rPr>
              <w:t>Imp</w:t>
            </w:r>
            <w:r>
              <w:rPr>
                <w:rStyle w:val="Zvraznenie"/>
                <w:b/>
                <w:bCs/>
              </w:rPr>
              <w:t>lementácia</w:t>
            </w:r>
          </w:p>
        </w:tc>
        <w:tc>
          <w:tcPr>
            <w:tcW w:w="0" w:type="auto"/>
            <w:vAlign w:val="center"/>
            <w:hideMark/>
          </w:tcPr>
          <w:p w:rsidR="00000000" w:rsidRDefault="00501E77">
            <w:pPr>
              <w:pStyle w:val="Normlnywebov"/>
              <w:jc w:val="right"/>
            </w:pPr>
            <w:r>
              <w:rPr>
                <w:rStyle w:val="Zvraznenie"/>
                <w:b/>
                <w:bCs/>
              </w:rPr>
              <w:t>4 199 000</w:t>
            </w:r>
          </w:p>
        </w:tc>
      </w:tr>
      <w:tr w:rsidR="00000000">
        <w:trPr>
          <w:divId w:val="1111049449"/>
          <w:cantSplit/>
          <w:tblCellSpacing w:w="15" w:type="dxa"/>
        </w:trPr>
        <w:tc>
          <w:tcPr>
            <w:tcW w:w="0" w:type="auto"/>
            <w:vAlign w:val="center"/>
            <w:hideMark/>
          </w:tcPr>
          <w:p w:rsidR="00000000" w:rsidRDefault="00501E77">
            <w:pPr>
              <w:pStyle w:val="Normlnywebov"/>
            </w:pPr>
            <w:r>
              <w:rPr>
                <w:rStyle w:val="Zvraznenie"/>
                <w:b/>
                <w:bCs/>
              </w:rPr>
              <w:t>Testovanie</w:t>
            </w:r>
          </w:p>
        </w:tc>
        <w:tc>
          <w:tcPr>
            <w:tcW w:w="0" w:type="auto"/>
            <w:vAlign w:val="center"/>
            <w:hideMark/>
          </w:tcPr>
          <w:p w:rsidR="00000000" w:rsidRDefault="00501E77">
            <w:pPr>
              <w:pStyle w:val="Normlnywebov"/>
              <w:jc w:val="right"/>
            </w:pPr>
            <w:r>
              <w:rPr>
                <w:rStyle w:val="Zvraznenie"/>
                <w:b/>
                <w:bCs/>
              </w:rPr>
              <w:t>858 000</w:t>
            </w:r>
          </w:p>
        </w:tc>
      </w:tr>
      <w:tr w:rsidR="00000000">
        <w:trPr>
          <w:divId w:val="1111049449"/>
          <w:cantSplit/>
          <w:tblCellSpacing w:w="15" w:type="dxa"/>
        </w:trPr>
        <w:tc>
          <w:tcPr>
            <w:tcW w:w="0" w:type="auto"/>
            <w:vAlign w:val="center"/>
            <w:hideMark/>
          </w:tcPr>
          <w:p w:rsidR="00000000" w:rsidRDefault="00501E77">
            <w:pPr>
              <w:pStyle w:val="Normlnywebov"/>
            </w:pPr>
            <w:r>
              <w:rPr>
                <w:rStyle w:val="Zvraznenie"/>
                <w:b/>
                <w:bCs/>
              </w:rPr>
              <w:t>Nasadenie</w:t>
            </w:r>
          </w:p>
        </w:tc>
        <w:tc>
          <w:tcPr>
            <w:tcW w:w="0" w:type="auto"/>
            <w:vAlign w:val="center"/>
            <w:hideMark/>
          </w:tcPr>
          <w:p w:rsidR="00000000" w:rsidRDefault="00501E77">
            <w:pPr>
              <w:pStyle w:val="Normlnywebov"/>
              <w:jc w:val="right"/>
            </w:pPr>
            <w:r>
              <w:rPr>
                <w:rStyle w:val="Zvraznenie"/>
                <w:b/>
                <w:bCs/>
              </w:rPr>
              <w:t>912 000</w:t>
            </w:r>
          </w:p>
        </w:tc>
      </w:tr>
      <w:tr w:rsidR="00000000">
        <w:trPr>
          <w:divId w:val="1111049449"/>
          <w:cantSplit/>
          <w:tblCellSpacing w:w="15" w:type="dxa"/>
        </w:trPr>
        <w:tc>
          <w:tcPr>
            <w:tcW w:w="0" w:type="auto"/>
            <w:vAlign w:val="center"/>
            <w:hideMark/>
          </w:tcPr>
          <w:p w:rsidR="00000000" w:rsidRDefault="00501E77">
            <w:pPr>
              <w:pStyle w:val="Normlnywebov"/>
            </w:pPr>
            <w:r>
              <w:rPr>
                <w:rStyle w:val="Zvraznenie"/>
                <w:b/>
                <w:bCs/>
              </w:rPr>
              <w:t>Podporné aktivity</w:t>
            </w:r>
          </w:p>
        </w:tc>
        <w:tc>
          <w:tcPr>
            <w:tcW w:w="0" w:type="auto"/>
            <w:vAlign w:val="center"/>
            <w:hideMark/>
          </w:tcPr>
          <w:p w:rsidR="00000000" w:rsidRDefault="00501E77">
            <w:pPr>
              <w:pStyle w:val="Normlnywebov"/>
              <w:jc w:val="right"/>
            </w:pPr>
            <w:r>
              <w:rPr>
                <w:rStyle w:val="Zvraznenie"/>
                <w:b/>
                <w:bCs/>
              </w:rPr>
              <w:t>544 670</w:t>
            </w:r>
          </w:p>
        </w:tc>
      </w:tr>
      <w:tr w:rsidR="00000000">
        <w:trPr>
          <w:divId w:val="1111049449"/>
          <w:cantSplit/>
          <w:tblCellSpacing w:w="15" w:type="dxa"/>
        </w:trPr>
        <w:tc>
          <w:tcPr>
            <w:tcW w:w="0" w:type="auto"/>
            <w:vAlign w:val="center"/>
            <w:hideMark/>
          </w:tcPr>
          <w:p w:rsidR="00000000" w:rsidRDefault="00501E77">
            <w:pPr>
              <w:pStyle w:val="Normlnywebov"/>
            </w:pPr>
            <w:r>
              <w:rPr>
                <w:rStyle w:val="Zvraznenie"/>
                <w:b/>
                <w:bCs/>
              </w:rPr>
              <w:t>Celkom</w:t>
            </w:r>
          </w:p>
        </w:tc>
        <w:tc>
          <w:tcPr>
            <w:tcW w:w="0" w:type="auto"/>
            <w:vAlign w:val="center"/>
            <w:hideMark/>
          </w:tcPr>
          <w:p w:rsidR="00000000" w:rsidRDefault="00501E77">
            <w:pPr>
              <w:pStyle w:val="Normlnywebov"/>
              <w:jc w:val="right"/>
            </w:pPr>
            <w:r>
              <w:rPr>
                <w:rStyle w:val="Zvraznenie"/>
                <w:b/>
                <w:bCs/>
              </w:rPr>
              <w:t>8 395 670</w:t>
            </w:r>
          </w:p>
        </w:tc>
      </w:tr>
    </w:tbl>
    <w:p w:rsidR="00000000" w:rsidRDefault="00501E77">
      <w:pPr>
        <w:pStyle w:val="Normlnywebov"/>
      </w:pPr>
    </w:p>
    <w:p w:rsidR="00000000" w:rsidRDefault="00501E77">
      <w:pPr>
        <w:pStyle w:val="Normlnywebov"/>
      </w:pPr>
      <w:r>
        <w:t>V súčasnosti neexistuje jeden centrálny certifikát všeobecných úrovní digitálnych kompetencií, ktorý by bol všeobecne akceptovaný.</w:t>
      </w:r>
    </w:p>
    <w:p w:rsidR="00000000" w:rsidRDefault="00501E77">
      <w:pPr>
        <w:pStyle w:val="Normlnywebov"/>
      </w:pPr>
      <w:r>
        <w:t>Cieľovou skupinou projektu sú občania SR nad 15 rokov s primárnym  (nie však výlučným) zameraním na znevýhodnené osoby ( podľa digitálnej agendy "jednotlivci s nasledujúcimi charakteristikami: 55 až 74 rokov; nízke vzdelanie; nezamestnaní a/alebo neaktívni</w:t>
      </w:r>
      <w:r>
        <w:t xml:space="preserve"> a/alebo dôchodcovia"), a to z dôvodu potreby ich rýchlejšieho začleňovania do spoločnosti a sprístupnenia zamestnaní s vyššou pridanou hodnotou. Štát realizáciou tohto projektu zároveň ponúkne občanom nástroj hodnotenia úrovne ich digitálnych kompetencií </w:t>
      </w:r>
      <w:r>
        <w:t>a tým aj efektívnejšie zavádzanie a využívanie eGovernment služieb (prispôsobovanie nástrojov informatizácie skutočnej úrovni digitálnych kompetencií cieľovej skupiny).</w:t>
      </w:r>
    </w:p>
    <w:p w:rsidR="00000000" w:rsidRDefault="00501E77">
      <w:pPr>
        <w:pStyle w:val="Normlnywebov"/>
      </w:pPr>
      <w:r>
        <w:rPr>
          <w:noProof/>
        </w:rPr>
        <w:drawing>
          <wp:inline distT="0" distB="0" distL="0" distR="0">
            <wp:extent cx="4457700" cy="2219325"/>
            <wp:effectExtent l="0" t="0" r="0" b="9525"/>
            <wp:docPr id="6" name="Obrázok 6" descr="C:\ef5ecdb302956996cecf090176c5c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f5ecdb302956996cecf090176c5cdb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2219325"/>
                    </a:xfrm>
                    <a:prstGeom prst="rect">
                      <a:avLst/>
                    </a:prstGeom>
                    <a:noFill/>
                    <a:ln>
                      <a:noFill/>
                    </a:ln>
                  </pic:spPr>
                </pic:pic>
              </a:graphicData>
            </a:graphic>
          </wp:inline>
        </w:drawing>
      </w:r>
    </w:p>
    <w:p w:rsidR="00000000" w:rsidRDefault="00501E77">
      <w:pPr>
        <w:pStyle w:val="Normlnywebov"/>
      </w:pPr>
      <w:r>
        <w:t>Obrázok 3: Zhrnutie projektu</w:t>
      </w:r>
    </w:p>
    <w:p w:rsidR="00000000" w:rsidRDefault="00501E77">
      <w:pPr>
        <w:pStyle w:val="Normlnywebov"/>
      </w:pPr>
      <w:r>
        <w:t> </w:t>
      </w:r>
    </w:p>
    <w:p w:rsidR="00000000" w:rsidRDefault="00501E77">
      <w:pPr>
        <w:pStyle w:val="Normlnywebov"/>
      </w:pPr>
      <w:r>
        <w:t>Prostredie vytvorené  v rámci tohto projektu, resp. vytvorené centrálne komponenty budú po rovnako použiteľné aj pre tie skupiny, ktoré nie sú znevýhodnené, t.j. ú</w:t>
      </w:r>
      <w:r>
        <w:t>radníkov, žiakov a podobne.</w:t>
      </w:r>
    </w:p>
    <w:p w:rsidR="00000000" w:rsidRDefault="00501E77">
      <w:pPr>
        <w:pStyle w:val="Normlnywebov"/>
      </w:pPr>
      <w:r>
        <w:t>Cieľovou skupinou tohto projektu sú všetci občania SR starší ako 15 rokov, ktorých počet bol podľa údajov Štatistického úradu SR k 31.12.2017 - 4 593 419,00 obyvateľov. Špecifickou cieľovou skupinou, na ktorú sa chce projekt zam</w:t>
      </w:r>
      <w:r>
        <w:t>erať sú znevýhodnené skupiny obyvateľstva. </w:t>
      </w:r>
    </w:p>
    <w:p w:rsidR="00000000" w:rsidRDefault="00501E77">
      <w:pPr>
        <w:pStyle w:val="Normlnywebov"/>
      </w:pPr>
      <w:r>
        <w:t>Podľa štatistických údajov Výskumného demografického centra Infostat</w:t>
      </w:r>
      <w:hyperlink r:id="rId42" w:history="1">
        <w:r>
          <w:rPr>
            <w:rStyle w:val="Hypertextovprepojenie"/>
            <w:vertAlign w:val="superscript"/>
          </w:rPr>
          <w:t>[8]</w:t>
        </w:r>
      </w:hyperlink>
      <w:r>
        <w:t xml:space="preserve"> z roku 2016 bol počet znevýhodnených osôb </w:t>
      </w:r>
      <w:r>
        <w:t>v kategórii 20-74 rokov s nižším vzdelaním 1.679 890 a k tomu v kategórií 55 - 74 so stredným a vyšším vzdelaním 586 049 osôb, spolu sa jedná o približne 2,3 mil osôb.</w:t>
      </w:r>
    </w:p>
    <w:p w:rsidR="00000000" w:rsidRDefault="00501E77">
      <w:pPr>
        <w:pStyle w:val="Normlnywebov"/>
      </w:pPr>
      <w:r>
        <w:rPr>
          <w:rStyle w:val="inline-comment-marker"/>
        </w:rPr>
        <w:t>Preferovaná alternatíva rieš</w:t>
      </w:r>
      <w:r>
        <w:rPr>
          <w:rStyle w:val="inline-comment-marker"/>
        </w:rPr>
        <w:t>i</w:t>
      </w:r>
      <w:r>
        <w:t xml:space="preserve"> vybudovanie komplexného centrálneho informačného systému, </w:t>
      </w:r>
      <w:r>
        <w:t xml:space="preserve">ktorý komplexne zastreší oblasť testovania a následného vydávania certifikátov. Alternatíva zároveň predpokladá aj vytvorenie on-line testov pre právne nezáväzné samotestovanie (vstupné testy) úrovne digitálnych kompetencií. Zároveň predpokladá vytvorenie </w:t>
      </w:r>
      <w:r>
        <w:t>centrálnej evidencie certifikátov, ich zdieľanie v zmysle princípu</w:t>
      </w:r>
      <w:r>
        <w:t xml:space="preserve"> </w:t>
      </w:r>
      <w:r>
        <w:rPr>
          <w:rStyle w:val="inline-comment-marker"/>
        </w:rPr>
        <w:t>„Jedenkrát a dosť“</w:t>
      </w:r>
      <w:r>
        <w:rPr>
          <w:rStyle w:val="inline-comment-marker"/>
        </w:rPr>
        <w:t>.</w:t>
      </w:r>
    </w:p>
    <w:p w:rsidR="00000000" w:rsidRDefault="00501E77">
      <w:pPr>
        <w:pStyle w:val="Normlnywebov"/>
      </w:pPr>
      <w:r>
        <w:t>Funkcionalita tejto alternatívy zahŕňa najmä:</w:t>
      </w:r>
    </w:p>
    <w:p w:rsidR="00000000" w:rsidRDefault="00501E77">
      <w:pPr>
        <w:pStyle w:val="Normlnywebov"/>
      </w:pPr>
      <w:r>
        <w:t>• Certifikačné testy</w:t>
      </w:r>
    </w:p>
    <w:p w:rsidR="00000000" w:rsidRDefault="00501E77">
      <w:pPr>
        <w:pStyle w:val="Normlnywebov"/>
      </w:pPr>
      <w:r>
        <w:t>• Riadenie procesov certifikácie vrátane kontroly úhrady prípadných poplatkov za certifikáciu</w:t>
      </w:r>
    </w:p>
    <w:p w:rsidR="00000000" w:rsidRDefault="00501E77">
      <w:pPr>
        <w:pStyle w:val="Normlnywebov"/>
      </w:pPr>
      <w:r>
        <w:t>• Regist</w:t>
      </w:r>
      <w:r>
        <w:t>er certifikátov</w:t>
      </w:r>
    </w:p>
    <w:p w:rsidR="00000000" w:rsidRDefault="00501E77">
      <w:pPr>
        <w:pStyle w:val="Normlnywebov"/>
      </w:pPr>
      <w:r>
        <w:t>• Automatické vydávanie certifikátov</w:t>
      </w:r>
    </w:p>
    <w:p w:rsidR="00000000" w:rsidRDefault="00501E77">
      <w:pPr>
        <w:pStyle w:val="Normlnywebov"/>
      </w:pPr>
      <w:r>
        <w:t>•</w:t>
      </w:r>
      <w:r>
        <w:t xml:space="preserve"> </w:t>
      </w:r>
      <w:r>
        <w:rPr>
          <w:rStyle w:val="inline-comment-marker"/>
        </w:rPr>
        <w:t>Doručovanie elektronických verzií certifikáto</w:t>
      </w:r>
      <w:r>
        <w:rPr>
          <w:rStyle w:val="inline-comment-marker"/>
        </w:rPr>
        <w:t>v</w:t>
      </w:r>
    </w:p>
    <w:p w:rsidR="00000000" w:rsidRDefault="00501E77">
      <w:pPr>
        <w:pStyle w:val="Normlnywebov"/>
      </w:pPr>
      <w:r>
        <w:t>• Používanie elektronických certifikátov v zmysle Jedenkrát a dosť, Moje data a</w:t>
      </w:r>
      <w:r>
        <w:t xml:space="preserve"> </w:t>
      </w:r>
      <w:r>
        <w:rPr>
          <w:rStyle w:val="inline-comment-marker"/>
        </w:rPr>
        <w:t>Otvorené údaj</w:t>
      </w:r>
      <w:r>
        <w:rPr>
          <w:rStyle w:val="inline-comment-marker"/>
        </w:rPr>
        <w:t>e</w:t>
      </w:r>
    </w:p>
    <w:p w:rsidR="00000000" w:rsidRDefault="00501E77">
      <w:pPr>
        <w:pStyle w:val="Normlnywebov"/>
      </w:pPr>
      <w:r>
        <w:t>• Poskytovanie dát a údajov pre potreby nastavovania regulačného a metodického rámca digitálnych kompetencií</w:t>
      </w:r>
    </w:p>
    <w:p w:rsidR="00000000" w:rsidRDefault="00501E77">
      <w:pPr>
        <w:pStyle w:val="Normlnywebov"/>
      </w:pPr>
      <w:r>
        <w:t> </w:t>
      </w:r>
    </w:p>
    <w:p w:rsidR="00000000" w:rsidRDefault="00501E77">
      <w:pPr>
        <w:pStyle w:val="Normlnywebov"/>
      </w:pPr>
      <w:r>
        <w:t>Realizácia projektu predpokladá spoluprácu s partnermi v oblasti zabezpečenia certifikačných centier a spoluprácu s participantmi projektu Zamest</w:t>
      </w:r>
      <w:r>
        <w:t>naj sa, buď KOMPetentný! pre komunikáciu s potenciálnou cieľovou skupinou.</w:t>
      </w:r>
    </w:p>
    <w:p w:rsidR="00000000" w:rsidRDefault="00501E77">
      <w:pPr>
        <w:pStyle w:val="Normlnywebov"/>
      </w:pPr>
    </w:p>
    <w:p w:rsidR="00000000" w:rsidRDefault="00501E77">
      <w:pPr>
        <w:pStyle w:val="Nadpis2"/>
        <w:rPr>
          <w:rFonts w:eastAsia="Times New Roman"/>
        </w:rPr>
      </w:pPr>
      <w:r>
        <w:rPr>
          <w:rStyle w:val="inline-comment-marker"/>
          <w:rFonts w:eastAsia="Times New Roman"/>
        </w:rPr>
        <w:t>Motiváci</w:t>
      </w:r>
      <w:r>
        <w:rPr>
          <w:rStyle w:val="inline-comment-marker"/>
          <w:rFonts w:eastAsia="Times New Roman"/>
        </w:rPr>
        <w:t>a</w:t>
      </w:r>
    </w:p>
    <w:p w:rsidR="00000000" w:rsidRDefault="00501E77">
      <w:pPr>
        <w:pStyle w:val="Normlnywebov"/>
      </w:pPr>
      <w:r>
        <w:rPr>
          <w:rStyle w:val="Zvraznenie"/>
        </w:rPr>
        <w:t>Tabuľka 3 Motivácia – budúci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958943611"/>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1958943611"/>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 xml:space="preserve">Motivačným faktorom je rastúca potreba digitálne kompetentných zamestnancov, kedy občania nemajú ako podložiť úroveň svojich kompetencií. V dôsledku toho je veľmi obtiažne čeliť výzvam, ktoré čakajú občanov a zamestnávateľov v súvislosti s  transformáciou </w:t>
            </w:r>
            <w:r>
              <w:t>trhu práce v dôsledku automatizácie a rozvoja umelej inteligencie v najbližších rokoch, pričom najmä skupiny znevýhodnených jednotlivcov vykazujú významne obmedzenú mieru ich inklúzie do digitálneho trhu.</w:t>
            </w:r>
          </w:p>
          <w:p w:rsidR="00000000" w:rsidRDefault="00501E77">
            <w:pPr>
              <w:pStyle w:val="Normlnywebov"/>
            </w:pPr>
            <w:r>
              <w:t>Z vyššie uvedeného vyplývajú nasledovné ciele, ktor</w:t>
            </w:r>
            <w:r>
              <w:t>é implementácia riešenia sleduje:</w:t>
            </w:r>
          </w:p>
          <w:p w:rsidR="00000000" w:rsidRDefault="00501E77">
            <w:pPr>
              <w:numPr>
                <w:ilvl w:val="0"/>
                <w:numId w:val="15"/>
              </w:numPr>
              <w:spacing w:before="100" w:beforeAutospacing="1" w:after="100" w:afterAutospacing="1"/>
              <w:rPr>
                <w:rFonts w:eastAsia="Times New Roman"/>
              </w:rPr>
            </w:pPr>
            <w:r>
              <w:rPr>
                <w:rFonts w:eastAsia="Times New Roman"/>
              </w:rPr>
              <w:t>zavedenie štandardizovanej certifikácie digitálnych kompetencií,</w:t>
            </w:r>
          </w:p>
          <w:p w:rsidR="00000000" w:rsidRDefault="00501E77">
            <w:pPr>
              <w:numPr>
                <w:ilvl w:val="0"/>
                <w:numId w:val="15"/>
              </w:numPr>
              <w:spacing w:before="100" w:beforeAutospacing="1" w:after="100" w:afterAutospacing="1"/>
              <w:rPr>
                <w:rFonts w:eastAsia="Times New Roman"/>
              </w:rPr>
            </w:pPr>
            <w:r>
              <w:rPr>
                <w:rFonts w:eastAsia="Times New Roman"/>
              </w:rPr>
              <w:t>implementácia systému pre podporu centrálneho mechanizmu hodnotenia a certifikácie občanov.</w:t>
            </w:r>
          </w:p>
          <w:p w:rsidR="00000000" w:rsidRDefault="00501E77">
            <w:pPr>
              <w:pStyle w:val="Normlnywebov"/>
            </w:pPr>
            <w:r>
              <w:t>Požiadavky na splnenie cieľov možno charakterizovať nasledovne:</w:t>
            </w:r>
          </w:p>
          <w:p w:rsidR="00000000" w:rsidRDefault="00501E77">
            <w:pPr>
              <w:numPr>
                <w:ilvl w:val="0"/>
                <w:numId w:val="16"/>
              </w:numPr>
              <w:spacing w:before="100" w:beforeAutospacing="1" w:after="100" w:afterAutospacing="1"/>
              <w:rPr>
                <w:rFonts w:eastAsia="Times New Roman"/>
              </w:rPr>
            </w:pPr>
            <w:r>
              <w:rPr>
                <w:rFonts w:eastAsia="Times New Roman"/>
              </w:rPr>
              <w:t>M</w:t>
            </w:r>
            <w:r>
              <w:rPr>
                <w:rFonts w:eastAsia="Times New Roman"/>
              </w:rPr>
              <w:t>onitorovať úroveň digitálnych kompetencií u obyvateľstva</w:t>
            </w:r>
          </w:p>
          <w:p w:rsidR="00000000" w:rsidRDefault="00501E77">
            <w:pPr>
              <w:pStyle w:val="Normlnywebov"/>
            </w:pPr>
            <w:r>
              <w:t>Vďaka monitoringu bude možné lepšie nastavovať regulačné rámce eGovernmentu a budovať elektronické služby z verejných zdrojov tak, aby boli prispôsobené úrovni digitálnych kompetencií.</w:t>
            </w:r>
          </w:p>
          <w:p w:rsidR="00000000" w:rsidRDefault="00501E77">
            <w:pPr>
              <w:numPr>
                <w:ilvl w:val="0"/>
                <w:numId w:val="17"/>
              </w:numPr>
              <w:spacing w:before="100" w:beforeAutospacing="1" w:after="100" w:afterAutospacing="1"/>
              <w:rPr>
                <w:rFonts w:eastAsia="Times New Roman"/>
              </w:rPr>
            </w:pPr>
            <w:r>
              <w:rPr>
                <w:rFonts w:eastAsia="Times New Roman"/>
              </w:rPr>
              <w:t>Zaviesť certif</w:t>
            </w:r>
            <w:r>
              <w:rPr>
                <w:rFonts w:eastAsia="Times New Roman"/>
              </w:rPr>
              <w:t>ikáty pre  digitálne kompetencie za účelom preukázania úrovne uchádzača o zamestnanie a zamestnanca.</w:t>
            </w:r>
          </w:p>
          <w:p w:rsidR="00000000" w:rsidRDefault="00501E77">
            <w:pPr>
              <w:pStyle w:val="Normlnywebov"/>
            </w:pPr>
            <w:r>
              <w:t>Zavedením certifikátov sa zvyšuje spoločenská hodnota jednotlivca a zamestnávateľom umožňuje efektívne sledovať a riadiť ľudské zdroje z </w:t>
            </w:r>
            <w:r>
              <w:t>pohľadu informatiky.</w:t>
            </w:r>
          </w:p>
          <w:p w:rsidR="00000000" w:rsidRDefault="00501E77">
            <w:pPr>
              <w:pStyle w:val="Normlnywebov"/>
            </w:pPr>
            <w:r>
              <w:t>Dosiahne sa tak splnenie plánovaných výsledkov špecifického cieľa 7.4 medzi ktoré patrí zvýšenie využívania služieb eGovernmentu a špecifického cieľa 7.6. medzi ktoré patrí zvýšenie  intenzity využívania služieb a vzdelávania sa v digi</w:t>
            </w:r>
            <w:r>
              <w:t>tálnom prostredí a zvýšenie aktívneho zapojenia do ekonomického a sociálneho diania v svojom okolí.</w:t>
            </w:r>
          </w:p>
        </w:tc>
      </w:tr>
      <w:tr w:rsidR="00000000">
        <w:trPr>
          <w:divId w:val="1958943611"/>
          <w:cantSplit/>
          <w:tblCellSpacing w:w="15" w:type="dxa"/>
        </w:trPr>
        <w:tc>
          <w:tcPr>
            <w:tcW w:w="0" w:type="auto"/>
            <w:gridSpan w:val="2"/>
            <w:vAlign w:val="center"/>
            <w:hideMark/>
          </w:tcPr>
          <w:p w:rsidR="00000000" w:rsidRDefault="00501E77">
            <w:pPr>
              <w:pStyle w:val="Normlnywebov"/>
            </w:pPr>
            <w:r>
              <w:rPr>
                <w:rStyle w:val="inline-comment-marker"/>
                <w:i/>
                <w:iCs/>
              </w:rPr>
              <w:t>Priestor pre sumárny obrázok: ArchiMate štandardný viewpoint – „Motivation viewpoint</w:t>
            </w:r>
            <w:r>
              <w:rPr>
                <w:rStyle w:val="inline-comment-marker"/>
                <w:i/>
                <w:iCs/>
              </w:rPr>
              <w:t>"</w:t>
            </w:r>
          </w:p>
          <w:p w:rsidR="00000000" w:rsidRDefault="00501E77">
            <w:pPr>
              <w:pStyle w:val="Normlnywebov"/>
            </w:pPr>
            <w:r>
              <w:rPr>
                <w:noProof/>
              </w:rPr>
              <w:drawing>
                <wp:inline distT="0" distB="0" distL="0" distR="0">
                  <wp:extent cx="4457700" cy="3876675"/>
                  <wp:effectExtent l="0" t="0" r="0" b="9525"/>
                  <wp:docPr id="7" name="Obrázok 7" descr="C:\fedc799249163efc5e91ef28fd778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edc799249163efc5e91ef28fd778b8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700" cy="3876675"/>
                          </a:xfrm>
                          <a:prstGeom prst="rect">
                            <a:avLst/>
                          </a:prstGeom>
                          <a:noFill/>
                          <a:ln>
                            <a:noFill/>
                          </a:ln>
                        </pic:spPr>
                      </pic:pic>
                    </a:graphicData>
                  </a:graphic>
                </wp:inline>
              </w:drawing>
            </w:r>
          </w:p>
          <w:p w:rsidR="00000000" w:rsidRDefault="00501E77">
            <w:pPr>
              <w:pStyle w:val="Normlnywebov"/>
            </w:pPr>
            <w:r>
              <w:rPr>
                <w:rStyle w:val="Zvraznenie"/>
              </w:rPr>
              <w:t>Obrázok 4 Motivačná architektúra</w:t>
            </w:r>
            <w:r>
              <w:t> </w:t>
            </w:r>
          </w:p>
        </w:tc>
      </w:tr>
      <w:tr w:rsidR="00000000">
        <w:trPr>
          <w:divId w:val="1958943611"/>
          <w:cantSplit/>
          <w:tblCellSpacing w:w="15" w:type="dxa"/>
        </w:trPr>
        <w:tc>
          <w:tcPr>
            <w:tcW w:w="0" w:type="auto"/>
            <w:vAlign w:val="center"/>
            <w:hideMark/>
          </w:tcPr>
          <w:p w:rsidR="00000000" w:rsidRDefault="00501E77">
            <w:pPr>
              <w:pStyle w:val="Normlnywebov"/>
              <w:shd w:val="clear" w:color="auto" w:fill="F0F0F0"/>
              <w:rPr>
                <w:b/>
                <w:bCs/>
              </w:rPr>
            </w:pPr>
            <w:r>
              <w:rPr>
                <w:rStyle w:val="Zvraznenie"/>
                <w:b/>
                <w:bCs/>
              </w:rPr>
              <w:t>Ďalšie informácie</w:t>
            </w:r>
            <w:r>
              <w:rPr>
                <w:b/>
                <w:bCs/>
              </w:rPr>
              <w:t xml:space="preserve"> </w:t>
            </w:r>
            <w:r>
              <w:rPr>
                <w:b/>
                <w:bCs/>
              </w:rPr>
              <w:br/>
            </w:r>
            <w:r>
              <w:rPr>
                <w:rStyle w:val="Zvraznenie"/>
                <w:b/>
                <w:bCs/>
              </w:rPr>
              <w:t>(Max. 1600 znakov, pre detailný popis je potrebné využiť prílohy)</w:t>
            </w:r>
          </w:p>
          <w:p w:rsidR="00000000" w:rsidRDefault="00501E77">
            <w:pPr>
              <w:pStyle w:val="Normlnywebov"/>
              <w:shd w:val="clear" w:color="auto" w:fill="F0F0F0"/>
              <w:rPr>
                <w:b/>
                <w:bCs/>
              </w:rPr>
            </w:pPr>
            <w:r>
              <w:rPr>
                <w:b/>
                <w:bCs/>
              </w:rPr>
              <w:t>Požiadavky sa dajú pre potreby multikriteriálnej anal</w:t>
            </w:r>
            <w:r>
              <w:rPr>
                <w:b/>
                <w:bCs/>
              </w:rPr>
              <w:t>ýzy  mapovať nasledovne:</w:t>
            </w:r>
          </w:p>
          <w:p w:rsidR="00000000" w:rsidRDefault="00501E77">
            <w:pPr>
              <w:pStyle w:val="Normlnywebov"/>
              <w:shd w:val="clear" w:color="auto" w:fill="F0F0F0"/>
              <w:rPr>
                <w:b/>
                <w:bCs/>
              </w:rPr>
            </w:pPr>
            <w:r>
              <w:rPr>
                <w:rStyle w:val="Zvraznenie"/>
                <w:b/>
                <w:bCs/>
              </w:rPr>
              <w:t xml:space="preserve">Zaviesť certifikáty pre digitálne kompetencie </w:t>
            </w:r>
          </w:p>
          <w:p w:rsidR="00000000" w:rsidRDefault="00501E77">
            <w:pPr>
              <w:numPr>
                <w:ilvl w:val="0"/>
                <w:numId w:val="18"/>
              </w:numPr>
              <w:spacing w:before="100" w:beforeAutospacing="1" w:after="100" w:afterAutospacing="1"/>
              <w:rPr>
                <w:rFonts w:eastAsia="Times New Roman"/>
                <w:b/>
                <w:bCs/>
              </w:rPr>
            </w:pPr>
            <w:r>
              <w:rPr>
                <w:rFonts w:eastAsia="Times New Roman"/>
                <w:b/>
                <w:bCs/>
              </w:rPr>
              <w:t>Jedenkrát a dosť</w:t>
            </w:r>
          </w:p>
          <w:p w:rsidR="00000000" w:rsidRDefault="00501E77">
            <w:pPr>
              <w:numPr>
                <w:ilvl w:val="0"/>
                <w:numId w:val="18"/>
              </w:numPr>
              <w:spacing w:before="100" w:beforeAutospacing="1" w:after="100" w:afterAutospacing="1"/>
              <w:rPr>
                <w:rFonts w:eastAsia="Times New Roman"/>
                <w:b/>
                <w:bCs/>
              </w:rPr>
            </w:pPr>
            <w:r>
              <w:rPr>
                <w:rFonts w:eastAsia="Times New Roman"/>
                <w:b/>
                <w:bCs/>
              </w:rPr>
              <w:t>Mobilita na základe certifikácie</w:t>
            </w:r>
          </w:p>
          <w:p w:rsidR="00000000" w:rsidRDefault="00501E77">
            <w:pPr>
              <w:numPr>
                <w:ilvl w:val="0"/>
                <w:numId w:val="18"/>
              </w:numPr>
              <w:spacing w:before="100" w:beforeAutospacing="1" w:after="100" w:afterAutospacing="1"/>
              <w:rPr>
                <w:rFonts w:eastAsia="Times New Roman"/>
                <w:b/>
                <w:bCs/>
              </w:rPr>
            </w:pPr>
            <w:r>
              <w:rPr>
                <w:rFonts w:eastAsia="Times New Roman"/>
                <w:b/>
                <w:bCs/>
              </w:rPr>
              <w:t>Kvalita certifikácií (dôveryhodnosť)</w:t>
            </w:r>
          </w:p>
          <w:p w:rsidR="00000000" w:rsidRDefault="00501E77">
            <w:pPr>
              <w:numPr>
                <w:ilvl w:val="0"/>
                <w:numId w:val="18"/>
              </w:numPr>
              <w:spacing w:before="100" w:beforeAutospacing="1" w:after="100" w:afterAutospacing="1"/>
              <w:rPr>
                <w:rFonts w:eastAsia="Times New Roman"/>
                <w:b/>
                <w:bCs/>
              </w:rPr>
            </w:pPr>
            <w:r>
              <w:rPr>
                <w:rFonts w:eastAsia="Times New Roman"/>
                <w:b/>
                <w:bCs/>
              </w:rPr>
              <w:t>Dostupnosť pre cieľové skupiny</w:t>
            </w:r>
          </w:p>
          <w:p w:rsidR="00000000" w:rsidRDefault="00501E77">
            <w:pPr>
              <w:numPr>
                <w:ilvl w:val="0"/>
                <w:numId w:val="18"/>
              </w:numPr>
              <w:spacing w:before="100" w:beforeAutospacing="1" w:after="100" w:afterAutospacing="1"/>
              <w:rPr>
                <w:rFonts w:eastAsia="Times New Roman"/>
                <w:b/>
                <w:bCs/>
              </w:rPr>
            </w:pPr>
            <w:r>
              <w:rPr>
                <w:rFonts w:eastAsia="Times New Roman"/>
                <w:b/>
                <w:bCs/>
              </w:rPr>
              <w:t>Adaptabilita na nové potreby trhu práce</w:t>
            </w:r>
          </w:p>
          <w:p w:rsidR="00000000" w:rsidRDefault="00501E77">
            <w:pPr>
              <w:numPr>
                <w:ilvl w:val="0"/>
                <w:numId w:val="18"/>
              </w:numPr>
              <w:spacing w:before="100" w:beforeAutospacing="1" w:after="100" w:afterAutospacing="1"/>
              <w:rPr>
                <w:rFonts w:eastAsia="Times New Roman"/>
                <w:b/>
                <w:bCs/>
              </w:rPr>
            </w:pPr>
            <w:r>
              <w:rPr>
                <w:rFonts w:eastAsia="Times New Roman"/>
                <w:b/>
                <w:bCs/>
              </w:rPr>
              <w:t>Nové ekonomické príležitos</w:t>
            </w:r>
            <w:r>
              <w:rPr>
                <w:rFonts w:eastAsia="Times New Roman"/>
                <w:b/>
                <w:bCs/>
              </w:rPr>
              <w:t>ti</w:t>
            </w:r>
          </w:p>
          <w:p w:rsidR="00000000" w:rsidRDefault="00501E77">
            <w:pPr>
              <w:numPr>
                <w:ilvl w:val="0"/>
                <w:numId w:val="18"/>
              </w:numPr>
              <w:spacing w:before="100" w:beforeAutospacing="1" w:after="100" w:afterAutospacing="1"/>
              <w:rPr>
                <w:rFonts w:eastAsia="Times New Roman"/>
                <w:b/>
                <w:bCs/>
              </w:rPr>
            </w:pPr>
            <w:r>
              <w:rPr>
                <w:rFonts w:eastAsia="Times New Roman"/>
                <w:b/>
                <w:bCs/>
              </w:rPr>
              <w:t>Zníženie počtu certifikátov</w:t>
            </w:r>
          </w:p>
          <w:p w:rsidR="00000000" w:rsidRDefault="00501E77">
            <w:pPr>
              <w:pStyle w:val="Normlnywebov"/>
              <w:shd w:val="clear" w:color="auto" w:fill="F0F0F0"/>
              <w:rPr>
                <w:b/>
                <w:bCs/>
              </w:rPr>
            </w:pPr>
            <w:r>
              <w:rPr>
                <w:rStyle w:val="Zvraznenie"/>
                <w:b/>
                <w:bCs/>
              </w:rPr>
              <w:t>Monitorovať úroveň digitálnych kompetencií</w:t>
            </w:r>
          </w:p>
          <w:p w:rsidR="00000000" w:rsidRDefault="00501E77">
            <w:pPr>
              <w:numPr>
                <w:ilvl w:val="0"/>
                <w:numId w:val="19"/>
              </w:numPr>
              <w:spacing w:before="100" w:beforeAutospacing="1" w:after="100" w:afterAutospacing="1"/>
              <w:rPr>
                <w:rFonts w:eastAsia="Times New Roman"/>
                <w:b/>
                <w:bCs/>
              </w:rPr>
            </w:pPr>
            <w:r>
              <w:rPr>
                <w:rFonts w:eastAsia="Times New Roman"/>
                <w:b/>
                <w:bCs/>
              </w:rPr>
              <w:t>Centrálny dohľad</w:t>
            </w:r>
          </w:p>
          <w:p w:rsidR="00000000" w:rsidRDefault="00501E77">
            <w:pPr>
              <w:numPr>
                <w:ilvl w:val="0"/>
                <w:numId w:val="19"/>
              </w:numPr>
              <w:spacing w:before="100" w:beforeAutospacing="1" w:after="100" w:afterAutospacing="1"/>
              <w:rPr>
                <w:rFonts w:eastAsia="Times New Roman"/>
                <w:b/>
                <w:bCs/>
              </w:rPr>
            </w:pPr>
            <w:r>
              <w:rPr>
                <w:rFonts w:eastAsia="Times New Roman"/>
                <w:b/>
                <w:bCs/>
              </w:rPr>
              <w:t>Možnosť ovplyvňovania fokusu na cieľové skupiny</w:t>
            </w:r>
          </w:p>
          <w:p w:rsidR="00000000" w:rsidRDefault="00501E77">
            <w:pPr>
              <w:numPr>
                <w:ilvl w:val="0"/>
                <w:numId w:val="19"/>
              </w:numPr>
              <w:spacing w:before="100" w:beforeAutospacing="1" w:after="100" w:afterAutospacing="1"/>
              <w:rPr>
                <w:rFonts w:eastAsia="Times New Roman"/>
                <w:b/>
                <w:bCs/>
              </w:rPr>
            </w:pPr>
            <w:r>
              <w:rPr>
                <w:rFonts w:eastAsia="Times New Roman"/>
                <w:b/>
                <w:bCs/>
              </w:rPr>
              <w:t>Využívanie dotačných schém pre mobilitu občanov (napr. Erasmus)</w:t>
            </w:r>
          </w:p>
          <w:p w:rsidR="00000000" w:rsidRDefault="00501E77">
            <w:pPr>
              <w:numPr>
                <w:ilvl w:val="0"/>
                <w:numId w:val="19"/>
              </w:numPr>
              <w:spacing w:before="100" w:beforeAutospacing="1" w:after="100" w:afterAutospacing="1"/>
              <w:rPr>
                <w:rFonts w:eastAsia="Times New Roman"/>
                <w:b/>
                <w:bCs/>
              </w:rPr>
            </w:pPr>
            <w:r>
              <w:rPr>
                <w:rFonts w:eastAsia="Times New Roman"/>
                <w:b/>
                <w:bCs/>
              </w:rPr>
              <w:t>Dostupnosť údajov pre analýzy</w:t>
            </w:r>
          </w:p>
          <w:p w:rsidR="00000000" w:rsidRDefault="00501E77">
            <w:pPr>
              <w:pStyle w:val="Normlnywebov"/>
              <w:shd w:val="clear" w:color="auto" w:fill="F0F0F0"/>
              <w:rPr>
                <w:b/>
                <w:bCs/>
              </w:rPr>
            </w:pPr>
            <w:r>
              <w:rPr>
                <w:b/>
                <w:bCs/>
              </w:rPr>
              <w:t>Jednotlivé čiastkové požiadavky sú popísané v prílohe Multikriteriálna analýza. Multikriteriálna analýza obsahuje aj ďalšie kritériá, ktoré nie sú požiadavkami stakeholderov, ale umožňujú komplexný pohľad na projekt, jeho udržateľnosť a možný rozvoj.</w:t>
            </w:r>
          </w:p>
          <w:p w:rsidR="00000000" w:rsidRDefault="00501E77">
            <w:pPr>
              <w:pStyle w:val="Normlnywebov"/>
              <w:shd w:val="clear" w:color="auto" w:fill="F0F0F0"/>
              <w:rPr>
                <w:b/>
                <w:bCs/>
              </w:rPr>
            </w:pPr>
            <w:r>
              <w:rPr>
                <w:b/>
                <w:bCs/>
              </w:rPr>
              <w:t>Ciele</w:t>
            </w:r>
            <w:r>
              <w:rPr>
                <w:b/>
                <w:bCs/>
              </w:rPr>
              <w:t>, požiadavky a obmedzenia jednotlivých aktérov</w:t>
            </w:r>
          </w:p>
          <w:p w:rsidR="00000000" w:rsidRDefault="00501E77">
            <w:pPr>
              <w:pStyle w:val="Normlnywebov"/>
              <w:jc w:val="center"/>
            </w:pPr>
            <w:r>
              <w:t> </w:t>
            </w:r>
          </w:p>
          <w:tbl>
            <w:tblPr>
              <w:tblW w:w="20175" w:type="dxa"/>
              <w:jc w:val="center"/>
              <w:tblCellMar>
                <w:left w:w="0" w:type="dxa"/>
                <w:right w:w="0" w:type="dxa"/>
              </w:tblCellMar>
              <w:tblLook w:val="04A0" w:firstRow="1" w:lastRow="0" w:firstColumn="1" w:lastColumn="0" w:noHBand="0" w:noVBand="1"/>
            </w:tblPr>
            <w:tblGrid>
              <w:gridCol w:w="2520"/>
              <w:gridCol w:w="7620"/>
              <w:gridCol w:w="5260"/>
              <w:gridCol w:w="4780"/>
            </w:tblGrid>
            <w:tr w:rsidR="00000000">
              <w:trPr>
                <w:divId w:val="1230766780"/>
                <w:cantSplit/>
                <w:trHeight w:val="330"/>
                <w:jc w:val="center"/>
              </w:trPr>
              <w:tc>
                <w:tcPr>
                  <w:tcW w:w="2520" w:type="dxa"/>
                  <w:vAlign w:val="center"/>
                  <w:hideMark/>
                </w:tcPr>
                <w:p w:rsidR="00000000" w:rsidRDefault="00501E77">
                  <w:pPr>
                    <w:rPr>
                      <w:rFonts w:eastAsia="Times New Roman"/>
                    </w:rPr>
                  </w:pPr>
                  <w:r>
                    <w:rPr>
                      <w:rFonts w:eastAsia="Times New Roman"/>
                    </w:rPr>
                    <w:t>Aktér </w:t>
                  </w:r>
                </w:p>
              </w:tc>
              <w:tc>
                <w:tcPr>
                  <w:tcW w:w="7620" w:type="dxa"/>
                  <w:tcBorders>
                    <w:left w:val="nil"/>
                  </w:tcBorders>
                  <w:vAlign w:val="center"/>
                  <w:hideMark/>
                </w:tcPr>
                <w:p w:rsidR="00000000" w:rsidRDefault="00501E77">
                  <w:pPr>
                    <w:rPr>
                      <w:rFonts w:eastAsia="Times New Roman"/>
                    </w:rPr>
                  </w:pPr>
                  <w:r>
                    <w:rPr>
                      <w:rFonts w:eastAsia="Times New Roman"/>
                    </w:rPr>
                    <w:t>Cieľ </w:t>
                  </w:r>
                </w:p>
              </w:tc>
              <w:tc>
                <w:tcPr>
                  <w:tcW w:w="5260" w:type="dxa"/>
                  <w:tcBorders>
                    <w:left w:val="nil"/>
                  </w:tcBorders>
                  <w:vAlign w:val="center"/>
                  <w:hideMark/>
                </w:tcPr>
                <w:p w:rsidR="00000000" w:rsidRDefault="00501E77">
                  <w:pPr>
                    <w:rPr>
                      <w:rFonts w:eastAsia="Times New Roman"/>
                    </w:rPr>
                  </w:pPr>
                  <w:r>
                    <w:rPr>
                      <w:rFonts w:eastAsia="Times New Roman"/>
                    </w:rPr>
                    <w:t>Požiadavka </w:t>
                  </w:r>
                </w:p>
              </w:tc>
              <w:tc>
                <w:tcPr>
                  <w:tcW w:w="4780" w:type="dxa"/>
                  <w:tcBorders>
                    <w:left w:val="nil"/>
                  </w:tcBorders>
                  <w:vAlign w:val="center"/>
                  <w:hideMark/>
                </w:tcPr>
                <w:p w:rsidR="00000000" w:rsidRDefault="00501E77">
                  <w:pPr>
                    <w:rPr>
                      <w:rFonts w:eastAsia="Times New Roman"/>
                    </w:rPr>
                  </w:pPr>
                  <w:r>
                    <w:rPr>
                      <w:rFonts w:eastAsia="Times New Roman"/>
                    </w:rPr>
                    <w:t>Obmedzenie </w:t>
                  </w:r>
                </w:p>
              </w:tc>
            </w:tr>
            <w:tr w:rsidR="00000000">
              <w:trPr>
                <w:divId w:val="1230766780"/>
                <w:cantSplit/>
                <w:trHeight w:val="945"/>
                <w:jc w:val="center"/>
              </w:trPr>
              <w:tc>
                <w:tcPr>
                  <w:tcW w:w="2520" w:type="dxa"/>
                  <w:vAlign w:val="center"/>
                  <w:hideMark/>
                </w:tcPr>
                <w:p w:rsidR="00000000" w:rsidRDefault="00501E77">
                  <w:pPr>
                    <w:rPr>
                      <w:rFonts w:eastAsia="Times New Roman"/>
                    </w:rPr>
                  </w:pPr>
                  <w:r>
                    <w:rPr>
                      <w:rFonts w:eastAsia="Times New Roman"/>
                    </w:rPr>
                    <w:t>ÚPPVII SR</w:t>
                  </w:r>
                </w:p>
              </w:tc>
              <w:tc>
                <w:tcPr>
                  <w:tcW w:w="7620" w:type="dxa"/>
                  <w:tcBorders>
                    <w:left w:val="nil"/>
                  </w:tcBorders>
                  <w:vAlign w:val="center"/>
                  <w:hideMark/>
                </w:tcPr>
                <w:p w:rsidR="00000000" w:rsidRDefault="00501E77">
                  <w:pPr>
                    <w:rPr>
                      <w:rFonts w:eastAsia="Times New Roman"/>
                    </w:rPr>
                  </w:pPr>
                  <w:r>
                    <w:rPr>
                      <w:rFonts w:eastAsia="Times New Roman"/>
                    </w:rPr>
                    <w:t>Zaviesť efektívne nástroje (elekronické služby) pre zvýšenie zapojenie sa občanov a špecificky znevýhodnených skupín obyvateľstva do digitálneho trhu</w:t>
                  </w:r>
                </w:p>
              </w:tc>
              <w:tc>
                <w:tcPr>
                  <w:tcW w:w="5260" w:type="dxa"/>
                  <w:tcBorders>
                    <w:left w:val="nil"/>
                  </w:tcBorders>
                  <w:vAlign w:val="center"/>
                  <w:hideMark/>
                </w:tcPr>
                <w:p w:rsidR="00000000" w:rsidRDefault="00501E77">
                  <w:pPr>
                    <w:rPr>
                      <w:rFonts w:eastAsia="Times New Roman"/>
                    </w:rPr>
                  </w:pPr>
                  <w:r>
                    <w:rPr>
                      <w:rFonts w:eastAsia="Times New Roman"/>
                    </w:rPr>
                    <w:t>Pre dosia</w:t>
                  </w:r>
                  <w:r>
                    <w:rPr>
                      <w:rFonts w:eastAsia="Times New Roman"/>
                    </w:rPr>
                    <w:t>hnutie cieľa je potrebné vybudovanie IS DEI a jeho naplnenie testovacími položkami, ako nástrojov pre preukázanie digitálnych kompetencií</w:t>
                  </w:r>
                </w:p>
              </w:tc>
              <w:tc>
                <w:tcPr>
                  <w:tcW w:w="4780" w:type="dxa"/>
                  <w:tcBorders>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230766780"/>
                <w:cantSplit/>
                <w:trHeight w:val="189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Výstupový KPI priamo súvisiaci s </w:t>
                  </w:r>
                  <w:r>
                    <w:rPr>
                      <w:rFonts w:eastAsia="Times New Roman"/>
                    </w:rPr>
                    <w:t>aktivitami projektu - 4 koncové elektronické služby, ktoré budú využívané občanmi (vrátane znevýhodnených skupín)</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2205"/>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Výsledkový KPI podliehajúci aj externým faktorom - Percento jednotlivcov patriacich do znevýhodnenej skupiny, ktorí vďaka projektu vy</w:t>
                  </w:r>
                  <w:r>
                    <w:rPr>
                      <w:rFonts w:eastAsia="Times New Roman"/>
                    </w:rPr>
                    <w:t>užívajú elektronické služby eGovernmentu na úrovni 10 %</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315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Výsledkový KPI podliehajúci aj externým faktorom - Percento znevýhodnených jednotlivcov, ktorí sú vďaka projektu motivovaní využívať internet na úrovni 10 % (celkovo za program sa očakáva vyu</w:t>
                  </w:r>
                  <w:r>
                    <w:rPr>
                      <w:rFonts w:eastAsia="Times New Roman"/>
                    </w:rPr>
                    <w:t>žívanie internetu znevýhodnenými skupiami na úrovni 70%)</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630"/>
                <w:jc w:val="center"/>
              </w:trPr>
              <w:tc>
                <w:tcPr>
                  <w:tcW w:w="2520" w:type="dxa"/>
                  <w:vAlign w:val="center"/>
                  <w:hideMark/>
                </w:tcPr>
                <w:p w:rsidR="00000000" w:rsidRDefault="00501E77">
                  <w:pPr>
                    <w:rPr>
                      <w:rFonts w:eastAsia="Times New Roman"/>
                    </w:rPr>
                  </w:pPr>
                  <w:r>
                    <w:rPr>
                      <w:rFonts w:eastAsia="Times New Roman"/>
                    </w:rPr>
                    <w:t>ÚPPVII SR</w:t>
                  </w:r>
                </w:p>
              </w:tc>
              <w:tc>
                <w:tcPr>
                  <w:tcW w:w="7620" w:type="dxa"/>
                  <w:tcBorders>
                    <w:left w:val="nil"/>
                  </w:tcBorders>
                  <w:vAlign w:val="center"/>
                  <w:hideMark/>
                </w:tcPr>
                <w:p w:rsidR="00000000" w:rsidRDefault="00501E77">
                  <w:pPr>
                    <w:rPr>
                      <w:rFonts w:eastAsia="Times New Roman"/>
                    </w:rPr>
                  </w:pPr>
                  <w:r>
                    <w:rPr>
                      <w:rFonts w:eastAsia="Times New Roman"/>
                    </w:rPr>
                    <w:t>Zvýšiť využívanie a spokojnosť občanov so službami eGovernmentu</w:t>
                  </w:r>
                </w:p>
              </w:tc>
              <w:tc>
                <w:tcPr>
                  <w:tcW w:w="5260" w:type="dxa"/>
                  <w:tcBorders>
                    <w:left w:val="nil"/>
                  </w:tcBorders>
                  <w:vAlign w:val="center"/>
                  <w:hideMark/>
                </w:tcPr>
                <w:p w:rsidR="00000000" w:rsidRDefault="00501E77">
                  <w:pPr>
                    <w:rPr>
                      <w:rFonts w:eastAsia="Times New Roman"/>
                    </w:rPr>
                  </w:pPr>
                  <w:r>
                    <w:rPr>
                      <w:rFonts w:eastAsia="Times New Roman"/>
                    </w:rPr>
                    <w:t>Pre dosiahnutie cieľa je potrebné vybudovanie IS DEI a jeho elektronických služieb</w:t>
                  </w:r>
                </w:p>
              </w:tc>
              <w:tc>
                <w:tcPr>
                  <w:tcW w:w="4780" w:type="dxa"/>
                  <w:tcBorders>
                    <w:left w:val="nil"/>
                  </w:tcBorders>
                  <w:vAlign w:val="center"/>
                  <w:hideMark/>
                </w:tcPr>
                <w:p w:rsidR="00000000" w:rsidRDefault="00501E77">
                  <w:pPr>
                    <w:rPr>
                      <w:rFonts w:eastAsia="Times New Roman"/>
                    </w:rPr>
                  </w:pPr>
                  <w:r>
                    <w:rPr>
                      <w:rFonts w:eastAsia="Times New Roman"/>
                    </w:rPr>
                    <w:t xml:space="preserve">Cieľ bude dosiahnutý prostredníctvom </w:t>
                  </w:r>
                  <w:r>
                    <w:rPr>
                      <w:rFonts w:eastAsia="Times New Roman"/>
                    </w:rPr>
                    <w:t>viacerých projektov v rámci cieľa 7.4</w:t>
                  </w:r>
                </w:p>
              </w:tc>
            </w:tr>
            <w:tr w:rsidR="00000000">
              <w:trPr>
                <w:divId w:val="1230766780"/>
                <w:cantSplit/>
                <w:trHeight w:val="189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Výstupový KPI priamo súvisiaci s aktivitami projektu - 4 koncové elektronické služby, ktoré budú využívané občanmi (vrátane znevýhodnených skupín)</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4095"/>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Výsledkový KPI priamo súvisiaci s aktivitami projektu – N</w:t>
                  </w:r>
                  <w:r>
                    <w:rPr>
                      <w:rFonts w:eastAsia="Times New Roman"/>
                    </w:rPr>
                    <w:t>a úrovni programu sa sleduje celkové používanie služieb eGovernmentu občanmi, pre projekt je možné tento ukazovateľ transformovať do ukazovateľa celkového používania zlužieb v zmysle počtu občanov, ktorí využili elektronické služby projektu na úrovni minim</w:t>
                  </w:r>
                  <w:r>
                    <w:rPr>
                      <w:rFonts w:eastAsia="Times New Roman"/>
                    </w:rPr>
                    <w:t>álne 50 000 ročne</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2835"/>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Výsledkový KPI podliehajúci aj externým faktorom - Celková spokojnosť občanov so službami eGovernmentu, v zmysle spokojnosti občanov, ktorí využili elektronické služby projektu na úrovni 73 % v súlade s cieľmi stanovenými na úrovni programu</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630"/>
                <w:jc w:val="center"/>
              </w:trPr>
              <w:tc>
                <w:tcPr>
                  <w:tcW w:w="2520" w:type="dxa"/>
                  <w:tcBorders>
                    <w:top w:val="nil"/>
                  </w:tcBorders>
                  <w:vAlign w:val="center"/>
                  <w:hideMark/>
                </w:tcPr>
                <w:p w:rsidR="00000000" w:rsidRDefault="00501E77">
                  <w:pPr>
                    <w:rPr>
                      <w:rFonts w:eastAsia="Times New Roman"/>
                    </w:rPr>
                  </w:pPr>
                  <w:r>
                    <w:rPr>
                      <w:rFonts w:eastAsia="Times New Roman"/>
                    </w:rPr>
                    <w:t>CMPP</w:t>
                  </w:r>
                </w:p>
              </w:tc>
              <w:tc>
                <w:tcPr>
                  <w:tcW w:w="7620" w:type="dxa"/>
                  <w:tcBorders>
                    <w:top w:val="nil"/>
                    <w:left w:val="nil"/>
                  </w:tcBorders>
                  <w:vAlign w:val="center"/>
                  <w:hideMark/>
                </w:tcPr>
                <w:p w:rsidR="00000000" w:rsidRDefault="00501E77">
                  <w:pPr>
                    <w:rPr>
                      <w:rFonts w:eastAsia="Times New Roman"/>
                    </w:rPr>
                  </w:pPr>
                  <w:r>
                    <w:rPr>
                      <w:rFonts w:eastAsia="Times New Roman"/>
                    </w:rPr>
                    <w:t>Umožn</w:t>
                  </w:r>
                  <w:r>
                    <w:rPr>
                      <w:rFonts w:eastAsia="Times New Roman"/>
                    </w:rPr>
                    <w:t>iť dostupnosť všeobecne akceptovaného hodnotenia prostredníctvom centrálneho certifikačného systému</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vybudovanie IS DEI a jeho naplnenie testovacími položkami</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w:t>
                  </w:r>
                  <w:r>
                    <w:rPr>
                      <w:rFonts w:eastAsia="Times New Roman"/>
                    </w:rPr>
                    <w:t>ými v rámci ESF</w:t>
                  </w:r>
                </w:p>
              </w:tc>
            </w:tr>
            <w:tr w:rsidR="00000000">
              <w:trPr>
                <w:divId w:val="1230766780"/>
                <w:cantSplit/>
                <w:trHeight w:val="189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Výstupový KPI priamo súvisiaci s aktivitami projektu - 4 koncové elektronické služby, ktoré budú využívané občanmi (vrátane znevýhodnených skupín)</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2205"/>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Výsledkový KPI podliehajúci aj externým faktorom - Percento jednotlivcov patria</w:t>
                  </w:r>
                  <w:r>
                    <w:rPr>
                      <w:rFonts w:eastAsia="Times New Roman"/>
                    </w:rPr>
                    <w:t>cich do znevýhodnenej skupiny, ktorí vďaka projektu využívajú elektronické služby eGovernmentu na úrovni 10 %</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1260"/>
                <w:jc w:val="center"/>
              </w:trPr>
              <w:tc>
                <w:tcPr>
                  <w:tcW w:w="2520" w:type="dxa"/>
                  <w:vAlign w:val="center"/>
                  <w:hideMark/>
                </w:tcPr>
                <w:p w:rsidR="00000000" w:rsidRDefault="00501E77">
                  <w:pPr>
                    <w:rPr>
                      <w:rFonts w:eastAsia="Times New Roman"/>
                    </w:rPr>
                  </w:pPr>
                  <w:r>
                    <w:rPr>
                      <w:rFonts w:eastAsia="Times New Roman"/>
                    </w:rPr>
                    <w:t>Občan (vrátane znevýhodnenej osoby)</w:t>
                  </w:r>
                </w:p>
              </w:tc>
              <w:tc>
                <w:tcPr>
                  <w:tcW w:w="7620" w:type="dxa"/>
                  <w:tcBorders>
                    <w:left w:val="nil"/>
                  </w:tcBorders>
                  <w:vAlign w:val="center"/>
                  <w:hideMark/>
                </w:tcPr>
                <w:p w:rsidR="00000000" w:rsidRDefault="00501E77">
                  <w:pPr>
                    <w:rPr>
                      <w:rFonts w:eastAsia="Times New Roman"/>
                    </w:rPr>
                  </w:pPr>
                  <w:r>
                    <w:rPr>
                      <w:rFonts w:eastAsia="Times New Roman"/>
                    </w:rPr>
                    <w:t>Mať jednoduchší prístup k zamestnaniam, vyžadujúcim digitálne kompetencie</w:t>
                  </w:r>
                </w:p>
              </w:tc>
              <w:tc>
                <w:tcPr>
                  <w:tcW w:w="5260" w:type="dxa"/>
                  <w:tcBorders>
                    <w:left w:val="nil"/>
                  </w:tcBorders>
                  <w:vAlign w:val="center"/>
                  <w:hideMark/>
                </w:tcPr>
                <w:p w:rsidR="00000000" w:rsidRDefault="00501E77">
                  <w:pPr>
                    <w:rPr>
                      <w:rFonts w:eastAsia="Times New Roman"/>
                    </w:rPr>
                  </w:pPr>
                  <w:r>
                    <w:rPr>
                      <w:rFonts w:eastAsia="Times New Roman"/>
                    </w:rPr>
                    <w:t>Pre dosiahnutie cieľa je potreb</w:t>
                  </w:r>
                  <w:r>
                    <w:rPr>
                      <w:rFonts w:eastAsia="Times New Roman"/>
                    </w:rPr>
                    <w:t>né vytvoriť online nástroj pre vykonávanie sebahodnotenia a získanie všeobecne uznávaného certifikátu pre digitálne kompetencie ako spôsobu ich preukázania</w:t>
                  </w:r>
                </w:p>
              </w:tc>
              <w:tc>
                <w:tcPr>
                  <w:tcW w:w="4780" w:type="dxa"/>
                  <w:tcBorders>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230766780"/>
                <w:cantSplit/>
                <w:trHeight w:val="126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Výstupový KPI priamo súvisiaci s aktivitami projektu – Počet vydaných certifikátov na úrovni 65 000 certifikátov</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189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Výsledkový KPI podliehajúci aj externým faktorom – Percento znevýhodnených jednotlivcov so strednými až vysokými počítačovými zručnosť</w:t>
                  </w:r>
                  <w:r>
                    <w:rPr>
                      <w:rFonts w:eastAsia="Times New Roman"/>
                    </w:rPr>
                    <w:t>ami na úrovni 40%</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945"/>
                <w:jc w:val="center"/>
              </w:trPr>
              <w:tc>
                <w:tcPr>
                  <w:tcW w:w="2520" w:type="dxa"/>
                  <w:tcBorders>
                    <w:top w:val="nil"/>
                  </w:tcBorders>
                  <w:vAlign w:val="center"/>
                  <w:hideMark/>
                </w:tcPr>
                <w:p w:rsidR="00000000" w:rsidRDefault="00501E77">
                  <w:pPr>
                    <w:rPr>
                      <w:rFonts w:eastAsia="Times New Roman"/>
                    </w:rPr>
                  </w:pPr>
                  <w:r>
                    <w:rPr>
                      <w:rFonts w:eastAsia="Times New Roman"/>
                    </w:rPr>
                    <w:t>Občan (vrátane znevýhodnenej osoby)</w:t>
                  </w:r>
                </w:p>
              </w:tc>
              <w:tc>
                <w:tcPr>
                  <w:tcW w:w="7620" w:type="dxa"/>
                  <w:tcBorders>
                    <w:top w:val="nil"/>
                    <w:left w:val="nil"/>
                  </w:tcBorders>
                  <w:vAlign w:val="center"/>
                  <w:hideMark/>
                </w:tcPr>
                <w:p w:rsidR="00000000" w:rsidRDefault="00501E77">
                  <w:pPr>
                    <w:rPr>
                      <w:rFonts w:eastAsia="Times New Roman"/>
                    </w:rPr>
                  </w:pPr>
                  <w:r>
                    <w:rPr>
                      <w:rFonts w:eastAsia="Times New Roman"/>
                    </w:rPr>
                    <w:t>Získať možnosť seba-hodnotnenia v oblasti digitálnych kompetencií ako nástroja pre overenie vlastných komptencií, porovnania sa voči iným účastníkom digitálneho trhu  a stanovenia plánu ďalšieho vz</w:t>
                  </w:r>
                  <w:r>
                    <w:rPr>
                      <w:rFonts w:eastAsia="Times New Roman"/>
                    </w:rPr>
                    <w:t>delávania</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vytvoriť online nástroj pre vykonávanie sebahodnotenia</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230766780"/>
                <w:cantSplit/>
                <w:trHeight w:val="126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 xml:space="preserve">Výstupový KPI priamo súvisiaci s aktivitami projektu – Počet assessment </w:t>
                  </w:r>
                  <w:r>
                    <w:rPr>
                      <w:rFonts w:eastAsia="Times New Roman"/>
                    </w:rPr>
                    <w:t>testovaní na úrovni 330 000 testovaní</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945"/>
                <w:jc w:val="center"/>
              </w:trPr>
              <w:tc>
                <w:tcPr>
                  <w:tcW w:w="2520" w:type="dxa"/>
                  <w:tcBorders>
                    <w:top w:val="nil"/>
                  </w:tcBorders>
                  <w:vAlign w:val="center"/>
                  <w:hideMark/>
                </w:tcPr>
                <w:p w:rsidR="00000000" w:rsidRDefault="00501E77">
                  <w:pPr>
                    <w:rPr>
                      <w:rFonts w:eastAsia="Times New Roman"/>
                    </w:rPr>
                  </w:pPr>
                  <w:r>
                    <w:rPr>
                      <w:rFonts w:eastAsia="Times New Roman"/>
                    </w:rPr>
                    <w:t>Certifikačný partner</w:t>
                  </w:r>
                </w:p>
              </w:tc>
              <w:tc>
                <w:tcPr>
                  <w:tcW w:w="7620" w:type="dxa"/>
                  <w:tcBorders>
                    <w:top w:val="nil"/>
                    <w:left w:val="nil"/>
                  </w:tcBorders>
                  <w:vAlign w:val="center"/>
                  <w:hideMark/>
                </w:tcPr>
                <w:p w:rsidR="00000000" w:rsidRDefault="00501E77">
                  <w:pPr>
                    <w:rPr>
                      <w:rFonts w:eastAsia="Times New Roman"/>
                    </w:rPr>
                  </w:pPr>
                  <w:r>
                    <w:rPr>
                      <w:rFonts w:eastAsia="Times New Roman"/>
                    </w:rPr>
                    <w:t>Do 3. roku projektu zabezpečiť priestory a procesy pre dôveryhodný prístup k centrálnej certifikačnej infraštruktúre</w:t>
                  </w:r>
                </w:p>
              </w:tc>
              <w:tc>
                <w:tcPr>
                  <w:tcW w:w="5260" w:type="dxa"/>
                  <w:tcBorders>
                    <w:top w:val="nil"/>
                    <w:left w:val="nil"/>
                  </w:tcBorders>
                  <w:vAlign w:val="center"/>
                  <w:hideMark/>
                </w:tcPr>
                <w:p w:rsidR="00000000" w:rsidRDefault="00501E77">
                  <w:pPr>
                    <w:rPr>
                      <w:rFonts w:eastAsia="Times New Roman"/>
                    </w:rPr>
                  </w:pPr>
                  <w:r>
                    <w:rPr>
                      <w:rFonts w:eastAsia="Times New Roman"/>
                    </w:rPr>
                    <w:t xml:space="preserve">Mať včasné podmienky a metodiku pre akreditovaného certifikačného partnera </w:t>
                  </w:r>
                  <w:r>
                    <w:rPr>
                      <w:rFonts w:eastAsia="Times New Roman"/>
                    </w:rPr>
                    <w:t>(do konca 2. roku projektu)</w:t>
                  </w:r>
                </w:p>
              </w:tc>
              <w:tc>
                <w:tcPr>
                  <w:tcW w:w="4780" w:type="dxa"/>
                  <w:tcBorders>
                    <w:top w:val="nil"/>
                    <w:left w:val="nil"/>
                  </w:tcBorders>
                  <w:vAlign w:val="center"/>
                  <w:hideMark/>
                </w:tcPr>
                <w:p w:rsidR="00000000" w:rsidRDefault="00501E77">
                  <w:pPr>
                    <w:rPr>
                      <w:rFonts w:eastAsia="Times New Roman"/>
                    </w:rPr>
                  </w:pPr>
                  <w:r>
                    <w:rPr>
                      <w:rFonts w:eastAsia="Times New Roman"/>
                    </w:rPr>
                    <w:t>Limit pre maximálny počet ocertifikovaných (10.000/rok/partner)</w:t>
                  </w:r>
                </w:p>
              </w:tc>
            </w:tr>
            <w:tr w:rsidR="00000000">
              <w:trPr>
                <w:divId w:val="1230766780"/>
                <w:cantSplit/>
                <w:trHeight w:val="63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Preukázať schopnosť certifikácie 100 osôb denne</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1260"/>
                <w:jc w:val="center"/>
              </w:trPr>
              <w:tc>
                <w:tcPr>
                  <w:tcW w:w="2520" w:type="dxa"/>
                  <w:tcBorders>
                    <w:top w:val="nil"/>
                  </w:tcBorders>
                  <w:vAlign w:val="center"/>
                  <w:hideMark/>
                </w:tcPr>
                <w:p w:rsidR="00000000" w:rsidRDefault="00501E77">
                  <w:pPr>
                    <w:rPr>
                      <w:rFonts w:eastAsia="Times New Roman"/>
                    </w:rPr>
                  </w:pPr>
                  <w:r>
                    <w:rPr>
                      <w:rFonts w:eastAsia="Times New Roman"/>
                    </w:rPr>
                    <w:t>Zamestnávatelia</w:t>
                  </w:r>
                </w:p>
              </w:tc>
              <w:tc>
                <w:tcPr>
                  <w:tcW w:w="7620" w:type="dxa"/>
                  <w:tcBorders>
                    <w:top w:val="nil"/>
                    <w:left w:val="nil"/>
                  </w:tcBorders>
                  <w:vAlign w:val="center"/>
                  <w:hideMark/>
                </w:tcPr>
                <w:p w:rsidR="00000000" w:rsidRDefault="00501E77">
                  <w:pPr>
                    <w:rPr>
                      <w:rFonts w:eastAsia="Times New Roman"/>
                    </w:rPr>
                  </w:pPr>
                  <w:r>
                    <w:rPr>
                      <w:rFonts w:eastAsia="Times New Roman"/>
                    </w:rPr>
                    <w:t>Jednoznačne poznať úrovne ovládania informatiky zamestnancov, resp. budúcich zamestnancov, ktoré nepodliehajú častým zmenám spôsobených rozvojom IKT</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vytvorenie online nástroja pre vykonávanie sebahodnotenia a získanie všeo</w:t>
                  </w:r>
                  <w:r>
                    <w:rPr>
                      <w:rFonts w:eastAsia="Times New Roman"/>
                    </w:rPr>
                    <w:t>becne uznávaného certifikátu pre digitálne kompetencie ako spôsobu ich preukázania</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230766780"/>
                <w:cantSplit/>
                <w:trHeight w:val="126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Výstupový KPI priamo súvisiaci s aktivitami projektu – Počet vydaných certifikátov na úr</w:t>
                  </w:r>
                  <w:r>
                    <w:rPr>
                      <w:rFonts w:eastAsia="Times New Roman"/>
                    </w:rPr>
                    <w:t>ovni 65 000 certifikátov</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1575"/>
                <w:jc w:val="center"/>
              </w:trPr>
              <w:tc>
                <w:tcPr>
                  <w:tcW w:w="2520" w:type="dxa"/>
                  <w:tcBorders>
                    <w:top w:val="nil"/>
                  </w:tcBorders>
                  <w:vAlign w:val="center"/>
                  <w:hideMark/>
                </w:tcPr>
                <w:p w:rsidR="00000000" w:rsidRDefault="00501E77">
                  <w:pPr>
                    <w:rPr>
                      <w:rFonts w:eastAsia="Times New Roman"/>
                    </w:rPr>
                  </w:pPr>
                  <w:r>
                    <w:rPr>
                      <w:rFonts w:eastAsia="Times New Roman"/>
                    </w:rPr>
                    <w:t>Zamestnávatelia</w:t>
                  </w:r>
                </w:p>
              </w:tc>
              <w:tc>
                <w:tcPr>
                  <w:tcW w:w="7620" w:type="dxa"/>
                  <w:tcBorders>
                    <w:top w:val="nil"/>
                    <w:left w:val="nil"/>
                  </w:tcBorders>
                  <w:vAlign w:val="center"/>
                  <w:hideMark/>
                </w:tcPr>
                <w:p w:rsidR="00000000" w:rsidRDefault="00501E77">
                  <w:pPr>
                    <w:rPr>
                      <w:rFonts w:eastAsia="Times New Roman"/>
                    </w:rPr>
                  </w:pPr>
                  <w:r>
                    <w:rPr>
                      <w:rFonts w:eastAsia="Times New Roman"/>
                    </w:rPr>
                    <w:t>Zníženie podielu ekonomicky aktívneho obyvateľstva s nepostačujúcimi IKT zručnosťami pre pracovný trh</w:t>
                  </w:r>
                </w:p>
              </w:tc>
              <w:tc>
                <w:tcPr>
                  <w:tcW w:w="5260" w:type="dxa"/>
                  <w:tcBorders>
                    <w:top w:val="nil"/>
                    <w:left w:val="nil"/>
                  </w:tcBorders>
                  <w:vAlign w:val="center"/>
                  <w:hideMark/>
                </w:tcPr>
                <w:p w:rsidR="00000000" w:rsidRDefault="00501E77">
                  <w:pPr>
                    <w:rPr>
                      <w:rFonts w:eastAsia="Times New Roman"/>
                    </w:rPr>
                  </w:pPr>
                  <w:r>
                    <w:rPr>
                      <w:rFonts w:eastAsia="Times New Roman"/>
                    </w:rPr>
                    <w:t>Vytvoriť podmienky pre vzdelávanie v oblasti digitálnych kompetencií a vytvorenie online nástroja pre vykoná</w:t>
                  </w:r>
                  <w:r>
                    <w:rPr>
                      <w:rFonts w:eastAsia="Times New Roman"/>
                    </w:rPr>
                    <w:t>vanie sebahodnotenia a získanie všeobecne uznávaného certifikátu pre digitálne kompetencie ako spôsobu ich preukázania</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230766780"/>
                <w:cantSplit/>
                <w:trHeight w:val="1890"/>
                <w:jc w:val="center"/>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7620" w:type="dxa"/>
                  <w:tcBorders>
                    <w:top w:val="nil"/>
                    <w:left w:val="nil"/>
                  </w:tcBorders>
                  <w:vAlign w:val="center"/>
                  <w:hideMark/>
                </w:tcPr>
                <w:p w:rsidR="00000000" w:rsidRDefault="00501E77">
                  <w:pPr>
                    <w:rPr>
                      <w:rFonts w:eastAsia="Times New Roman"/>
                    </w:rPr>
                  </w:pPr>
                  <w:r>
                    <w:rPr>
                      <w:rFonts w:eastAsia="Times New Roman"/>
                    </w:rPr>
                    <w:t>Výsledkový KPI podliehajúci aj externým faktorom Pok</w:t>
                  </w:r>
                  <w:r>
                    <w:rPr>
                      <w:rFonts w:eastAsia="Times New Roman"/>
                    </w:rPr>
                    <w:t>les percenta obyvateľstva s nepostačujúcimi IKT zručnosťami pre pracovný trh o 14,7 p.b.</w:t>
                  </w:r>
                </w:p>
              </w:tc>
              <w:tc>
                <w:tcPr>
                  <w:tcW w:w="5260" w:type="dxa"/>
                  <w:tcBorders>
                    <w:top w:val="nil"/>
                    <w:left w:val="nil"/>
                  </w:tcBorders>
                  <w:vAlign w:val="center"/>
                  <w:hideMark/>
                </w:tcPr>
                <w:p w:rsidR="00000000" w:rsidRDefault="00501E77">
                  <w:pPr>
                    <w:rPr>
                      <w:rFonts w:eastAsia="Times New Roman"/>
                    </w:rPr>
                  </w:pPr>
                  <w:r>
                    <w:rPr>
                      <w:rFonts w:eastAsia="Times New Roman"/>
                    </w:rPr>
                    <w:t> </w:t>
                  </w:r>
                </w:p>
              </w:tc>
              <w:tc>
                <w:tcPr>
                  <w:tcW w:w="4780" w:type="dxa"/>
                  <w:tcBorders>
                    <w:top w:val="nil"/>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1890"/>
                <w:jc w:val="center"/>
              </w:trPr>
              <w:tc>
                <w:tcPr>
                  <w:tcW w:w="2520" w:type="dxa"/>
                  <w:vAlign w:val="center"/>
                  <w:hideMark/>
                </w:tcPr>
                <w:p w:rsidR="00000000" w:rsidRDefault="00501E77">
                  <w:pPr>
                    <w:rPr>
                      <w:rFonts w:eastAsia="Times New Roman"/>
                    </w:rPr>
                  </w:pPr>
                  <w:r>
                    <w:rPr>
                      <w:rFonts w:eastAsia="Times New Roman"/>
                    </w:rPr>
                    <w:t>Externé organizácie</w:t>
                  </w:r>
                </w:p>
              </w:tc>
              <w:tc>
                <w:tcPr>
                  <w:tcW w:w="7620" w:type="dxa"/>
                  <w:tcBorders>
                    <w:left w:val="nil"/>
                  </w:tcBorders>
                  <w:vAlign w:val="center"/>
                  <w:hideMark/>
                </w:tcPr>
                <w:p w:rsidR="00000000" w:rsidRDefault="00501E77">
                  <w:pPr>
                    <w:rPr>
                      <w:rFonts w:eastAsia="Times New Roman"/>
                    </w:rPr>
                  </w:pPr>
                  <w:r>
                    <w:rPr>
                      <w:rFonts w:eastAsia="Times New Roman"/>
                    </w:rPr>
                    <w:t>Získať nástroje pre umožnenie sebahodnotenia a certifikáciu (nielen IKT) zamestnancov</w:t>
                  </w:r>
                </w:p>
              </w:tc>
              <w:tc>
                <w:tcPr>
                  <w:tcW w:w="5260" w:type="dxa"/>
                  <w:tcBorders>
                    <w:left w:val="nil"/>
                  </w:tcBorders>
                  <w:vAlign w:val="center"/>
                  <w:hideMark/>
                </w:tcPr>
                <w:p w:rsidR="00000000" w:rsidRDefault="00501E77">
                  <w:pPr>
                    <w:rPr>
                      <w:rFonts w:eastAsia="Times New Roman"/>
                    </w:rPr>
                  </w:pPr>
                  <w:r>
                    <w:rPr>
                      <w:rFonts w:eastAsia="Times New Roman"/>
                    </w:rPr>
                    <w:t>Sprístupnenie centrálneho komponentu pre certifikáciu ďalším subjektom a umožnenie vlastných certifikácií aj v iných oblastiach</w:t>
                  </w:r>
                </w:p>
              </w:tc>
              <w:tc>
                <w:tcPr>
                  <w:tcW w:w="4780" w:type="dxa"/>
                  <w:tcBorders>
                    <w:left w:val="nil"/>
                  </w:tcBorders>
                  <w:vAlign w:val="center"/>
                  <w:hideMark/>
                </w:tcPr>
                <w:p w:rsidR="00000000" w:rsidRDefault="00501E77">
                  <w:pPr>
                    <w:rPr>
                      <w:rFonts w:eastAsia="Times New Roman"/>
                    </w:rPr>
                  </w:pPr>
                  <w:r>
                    <w:rPr>
                      <w:rFonts w:eastAsia="Times New Roman"/>
                    </w:rPr>
                    <w:t> </w:t>
                  </w:r>
                </w:p>
              </w:tc>
            </w:tr>
            <w:tr w:rsidR="00000000">
              <w:trPr>
                <w:divId w:val="1230766780"/>
                <w:cantSplit/>
                <w:trHeight w:val="1890"/>
                <w:jc w:val="center"/>
              </w:trPr>
              <w:tc>
                <w:tcPr>
                  <w:tcW w:w="2520" w:type="dxa"/>
                  <w:vAlign w:val="center"/>
                  <w:hideMark/>
                </w:tcPr>
                <w:p w:rsidR="00000000" w:rsidRDefault="00501E77">
                  <w:pPr>
                    <w:rPr>
                      <w:rFonts w:eastAsia="Times New Roman"/>
                    </w:rPr>
                  </w:pPr>
                  <w:r>
                    <w:rPr>
                      <w:rFonts w:eastAsia="Times New Roman"/>
                    </w:rPr>
                    <w:t>KPI</w:t>
                  </w:r>
                </w:p>
              </w:tc>
              <w:tc>
                <w:tcPr>
                  <w:tcW w:w="7620" w:type="dxa"/>
                  <w:tcBorders>
                    <w:left w:val="nil"/>
                  </w:tcBorders>
                  <w:vAlign w:val="center"/>
                  <w:hideMark/>
                </w:tcPr>
                <w:p w:rsidR="00000000" w:rsidRDefault="00501E77">
                  <w:pPr>
                    <w:rPr>
                      <w:rFonts w:eastAsia="Times New Roman"/>
                    </w:rPr>
                  </w:pPr>
                  <w:r>
                    <w:rPr>
                      <w:rFonts w:eastAsia="Times New Roman"/>
                    </w:rPr>
                    <w:t>Výstupový KPI priamo súvisiaci s aktivitami projektu – vytvorený centrálny komponent pre certifikáciu</w:t>
                  </w:r>
                </w:p>
              </w:tc>
              <w:tc>
                <w:tcPr>
                  <w:tcW w:w="5260" w:type="dxa"/>
                  <w:tcBorders>
                    <w:left w:val="nil"/>
                  </w:tcBorders>
                  <w:vAlign w:val="center"/>
                  <w:hideMark/>
                </w:tcPr>
                <w:p w:rsidR="00000000" w:rsidRDefault="00501E77">
                  <w:pPr>
                    <w:rPr>
                      <w:rFonts w:eastAsia="Times New Roman"/>
                    </w:rPr>
                  </w:pPr>
                  <w:r>
                    <w:rPr>
                      <w:rFonts w:eastAsia="Times New Roman"/>
                    </w:rPr>
                    <w:t> </w:t>
                  </w:r>
                </w:p>
              </w:tc>
              <w:tc>
                <w:tcPr>
                  <w:tcW w:w="4780" w:type="dxa"/>
                  <w:tcBorders>
                    <w:left w:val="nil"/>
                  </w:tcBorders>
                  <w:vAlign w:val="center"/>
                  <w:hideMark/>
                </w:tcPr>
                <w:p w:rsidR="00000000" w:rsidRDefault="00501E77">
                  <w:pPr>
                    <w:rPr>
                      <w:rFonts w:eastAsia="Times New Roman"/>
                    </w:rPr>
                  </w:pPr>
                  <w:r>
                    <w:rPr>
                      <w:rFonts w:eastAsia="Times New Roman"/>
                    </w:rPr>
                    <w:t> </w:t>
                  </w:r>
                </w:p>
              </w:tc>
            </w:tr>
          </w:tbl>
          <w:p w:rsidR="00000000" w:rsidRDefault="00501E77">
            <w:pPr>
              <w:jc w:val="center"/>
              <w:rPr>
                <w:rFonts w:eastAsia="Times New Roman"/>
              </w:rPr>
            </w:pPr>
          </w:p>
        </w:tc>
        <w:tc>
          <w:tcPr>
            <w:tcW w:w="0" w:type="auto"/>
            <w:vAlign w:val="center"/>
            <w:hideMark/>
          </w:tcPr>
          <w:p w:rsidR="00000000" w:rsidRDefault="00501E77">
            <w:pPr>
              <w:rPr>
                <w:rFonts w:eastAsia="Times New Roman"/>
              </w:rPr>
            </w:pPr>
            <w:r>
              <w:rPr>
                <w:rFonts w:eastAsia="Times New Roman"/>
              </w:rPr>
              <w:t> </w:t>
            </w:r>
          </w:p>
        </w:tc>
      </w:tr>
      <w:tr w:rsidR="00000000">
        <w:trPr>
          <w:divId w:val="1958943611"/>
          <w:cantSplit/>
          <w:tblCellSpacing w:w="15" w:type="dxa"/>
        </w:trPr>
        <w:tc>
          <w:tcPr>
            <w:tcW w:w="0" w:type="auto"/>
            <w:vAlign w:val="center"/>
            <w:hideMark/>
          </w:tcPr>
          <w:p w:rsidR="00000000" w:rsidRDefault="00501E77">
            <w:pPr>
              <w:pStyle w:val="Normlnywebov"/>
            </w:pPr>
            <w:r>
              <w:rPr>
                <w:rStyle w:val="Siln"/>
              </w:rPr>
              <w:t>Riziká</w:t>
            </w:r>
          </w:p>
        </w:tc>
        <w:tc>
          <w:tcPr>
            <w:tcW w:w="0" w:type="auto"/>
            <w:vAlign w:val="center"/>
            <w:hideMark/>
          </w:tcPr>
          <w:p w:rsidR="00000000" w:rsidRDefault="00501E77">
            <w:pPr>
              <w:pStyle w:val="Normlnywebov"/>
            </w:pPr>
            <w:r>
              <w:rPr>
                <w:rStyle w:val="Siln"/>
              </w:rPr>
              <w:t>Spr</w:t>
            </w:r>
            <w:r>
              <w:rPr>
                <w:rStyle w:val="Siln"/>
              </w:rPr>
              <w:t>esnenie identifikovaných rizík:</w:t>
            </w:r>
            <w:r>
              <w:t xml:space="preserve"> RM_01, RM_02, RB 04</w:t>
            </w:r>
          </w:p>
        </w:tc>
      </w:tr>
      <w:tr w:rsidR="00000000">
        <w:trPr>
          <w:divId w:val="1958943611"/>
          <w:cantSplit/>
          <w:tblCellSpacing w:w="15" w:type="dxa"/>
        </w:trPr>
        <w:tc>
          <w:tcPr>
            <w:tcW w:w="0" w:type="auto"/>
            <w:gridSpan w:val="2"/>
            <w:vAlign w:val="center"/>
            <w:hideMark/>
          </w:tcPr>
          <w:p w:rsidR="00000000" w:rsidRDefault="00501E77">
            <w:pPr>
              <w:pStyle w:val="Normlnywebov"/>
            </w:pPr>
            <w:r>
              <w:t>Stručná charakteristika identifikovaných rizík (Max. 400 znako</w:t>
            </w:r>
            <w:r>
              <w:t>v</w:t>
            </w:r>
            <w:r>
              <w:rPr>
                <w:rStyle w:val="inline-comment-marker"/>
              </w:rPr>
              <w:t>)</w:t>
            </w:r>
          </w:p>
          <w:p w:rsidR="00000000" w:rsidRDefault="00501E77">
            <w:pPr>
              <w:numPr>
                <w:ilvl w:val="0"/>
                <w:numId w:val="20"/>
              </w:numPr>
              <w:spacing w:before="100" w:beforeAutospacing="1" w:after="100" w:afterAutospacing="1"/>
              <w:rPr>
                <w:rFonts w:eastAsia="Times New Roman"/>
              </w:rPr>
            </w:pPr>
            <w:r>
              <w:rPr>
                <w:rFonts w:eastAsia="Times New Roman"/>
              </w:rPr>
              <w:t>Nesúčinnosť zložiek štátnej správy</w:t>
            </w:r>
          </w:p>
          <w:p w:rsidR="00000000" w:rsidRDefault="00501E77">
            <w:pPr>
              <w:numPr>
                <w:ilvl w:val="0"/>
                <w:numId w:val="20"/>
              </w:numPr>
              <w:spacing w:before="100" w:beforeAutospacing="1" w:after="100" w:afterAutospacing="1"/>
              <w:rPr>
                <w:rFonts w:eastAsia="Times New Roman"/>
              </w:rPr>
            </w:pPr>
            <w:r>
              <w:rPr>
                <w:rFonts w:eastAsia="Times New Roman"/>
              </w:rPr>
              <w:t>Kompetenčné spory</w:t>
            </w:r>
          </w:p>
          <w:p w:rsidR="00000000" w:rsidRDefault="00501E77">
            <w:pPr>
              <w:numPr>
                <w:ilvl w:val="0"/>
                <w:numId w:val="20"/>
              </w:numPr>
              <w:spacing w:before="100" w:beforeAutospacing="1" w:after="100" w:afterAutospacing="1"/>
              <w:rPr>
                <w:rFonts w:eastAsia="Times New Roman"/>
              </w:rPr>
            </w:pPr>
            <w:r>
              <w:rPr>
                <w:rFonts w:eastAsia="Times New Roman"/>
              </w:rPr>
              <w:t>Nedostatočná súčinnosť certifikačných partnerov</w:t>
            </w:r>
          </w:p>
        </w:tc>
      </w:tr>
      <w:tr w:rsidR="00000000">
        <w:trPr>
          <w:divId w:val="1958943611"/>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w:t>
            </w:r>
            <w:r>
              <w:rPr>
                <w:rStyle w:val="Siln"/>
              </w:rPr>
              <w:t> plnom rozlíšení</w:t>
            </w:r>
          </w:p>
        </w:tc>
      </w:tr>
      <w:tr w:rsidR="00000000">
        <w:trPr>
          <w:divId w:val="1958943611"/>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numPr>
                <w:ilvl w:val="0"/>
                <w:numId w:val="21"/>
              </w:numPr>
              <w:spacing w:before="100" w:beforeAutospacing="1" w:after="100" w:afterAutospacing="1"/>
              <w:rPr>
                <w:rFonts w:eastAsia="Times New Roman"/>
              </w:rPr>
            </w:pPr>
            <w:r>
              <w:rPr>
                <w:rStyle w:val="inline-comment-marker"/>
                <w:rFonts w:eastAsia="Times New Roman"/>
              </w:rPr>
              <w:t>Tabuľka 2 Rizik</w:t>
            </w:r>
            <w:r>
              <w:rPr>
                <w:rStyle w:val="inline-comment-marker"/>
                <w:rFonts w:eastAsia="Times New Roman"/>
              </w:rPr>
              <w:t>á</w:t>
            </w:r>
          </w:p>
          <w:p w:rsidR="00000000" w:rsidRDefault="00501E77">
            <w:pPr>
              <w:numPr>
                <w:ilvl w:val="0"/>
                <w:numId w:val="21"/>
              </w:numPr>
              <w:spacing w:before="100" w:beforeAutospacing="1" w:after="100" w:afterAutospacing="1"/>
              <w:rPr>
                <w:rFonts w:eastAsia="Times New Roman"/>
              </w:rPr>
            </w:pPr>
            <w:r>
              <w:rPr>
                <w:rFonts w:eastAsia="Times New Roman"/>
              </w:rPr>
              <w:t>Tabuľka 5 Zoznam zainteresovaných</w:t>
            </w:r>
          </w:p>
          <w:p w:rsidR="00000000" w:rsidRDefault="00501E77">
            <w:pPr>
              <w:numPr>
                <w:ilvl w:val="0"/>
                <w:numId w:val="21"/>
              </w:numPr>
              <w:spacing w:before="100" w:beforeAutospacing="1" w:after="100" w:afterAutospacing="1"/>
              <w:rPr>
                <w:rFonts w:eastAsia="Times New Roman"/>
              </w:rPr>
            </w:pPr>
            <w:r>
              <w:rPr>
                <w:rFonts w:eastAsia="Times New Roman"/>
              </w:rPr>
              <w:t>Tabuľka 6 Zoznam cieľov</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2"/>
        <w:rPr>
          <w:rFonts w:eastAsia="Times New Roman"/>
        </w:rPr>
      </w:pPr>
      <w:r>
        <w:rPr>
          <w:rFonts w:eastAsia="Times New Roman"/>
        </w:rPr>
        <w:t>Popis aktuálneho stavu</w:t>
      </w:r>
    </w:p>
    <w:p w:rsidR="00000000" w:rsidRDefault="00501E77">
      <w:pPr>
        <w:pStyle w:val="Nadpis3"/>
        <w:rPr>
          <w:rFonts w:eastAsia="Times New Roman"/>
        </w:rPr>
      </w:pPr>
      <w:r>
        <w:rPr>
          <w:rStyle w:val="inline-comment-marker"/>
          <w:rFonts w:eastAsia="Times New Roman"/>
        </w:rPr>
        <w:t>Legislatív</w:t>
      </w:r>
      <w:r>
        <w:rPr>
          <w:rStyle w:val="inline-comment-marker"/>
          <w:rFonts w:eastAsia="Times New Roman"/>
        </w:rPr>
        <w:t>a</w:t>
      </w:r>
    </w:p>
    <w:p w:rsidR="00000000" w:rsidRDefault="00501E77">
      <w:pPr>
        <w:pStyle w:val="Normlnywebov"/>
      </w:pPr>
      <w:r>
        <w:rPr>
          <w:rStyle w:val="Zvraznenie"/>
        </w:rPr>
        <w:t>Tabuľka 4 Legislatíva – aktuálny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91038719"/>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191038719"/>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 </w:t>
            </w:r>
          </w:p>
          <w:p w:rsidR="00000000" w:rsidRDefault="00501E77">
            <w:pPr>
              <w:pStyle w:val="Normlnywebov"/>
            </w:pPr>
            <w:r>
              <w:t>V súčasnosti sa riadi iba aktuálnou legislatívou pokrývajúcou uznávanie kvalifikácie - primárne zákonom 422/2015 Z. z. o uznávaní dokladov o vzdelaní a o uznávaní odborných kvalifikácií, ktorý vymedzuje uznanú vzdelávaciu</w:t>
            </w:r>
            <w:r>
              <w:t xml:space="preserve"> </w:t>
            </w:r>
            <w:r>
              <w:rPr>
                <w:rStyle w:val="inline-comment-marker"/>
              </w:rPr>
              <w:t>inšt</w:t>
            </w:r>
            <w:r>
              <w:rPr>
                <w:rStyle w:val="inline-comment-marker"/>
              </w:rPr>
              <w:t>i</w:t>
            </w:r>
            <w:r>
              <w:t>túciu ako aj doklady o vzdela</w:t>
            </w:r>
            <w:r>
              <w:t>ní a doklady o uznávaní odborných kvalifikácií pričom neuvádza certifikáty.</w:t>
            </w:r>
            <w:r>
              <w:rPr>
                <w:color w:val="000000"/>
              </w:rPr>
              <w:t> </w:t>
            </w:r>
          </w:p>
          <w:p w:rsidR="00000000" w:rsidRDefault="00501E77">
            <w:pPr>
              <w:pStyle w:val="Normlnywebov"/>
            </w:pPr>
            <w:r>
              <w:rPr>
                <w:color w:val="000000"/>
              </w:rPr>
              <w:t> </w:t>
            </w:r>
            <w:r>
              <w:t>Z pohľadu ZUoZ je problematika motivácie, zvyšovania kvalifikácie a vydávania dokladov o zvyšovaní kvalifikácie riešená zákonom 5/2004 Z. z. o službách zamestnanosti, ktorý uprav</w:t>
            </w:r>
            <w:r>
              <w:t>uje právne vzťahy pri poskytovaní služieb zamestnanosti.</w:t>
            </w:r>
          </w:p>
          <w:p w:rsidR="00000000" w:rsidRDefault="00501E77">
            <w:pPr>
              <w:pStyle w:val="Normlnywebov"/>
            </w:pPr>
            <w:r>
              <w:t>A aspekt celoživotného vzdelávania pokrýva zákon 568/2009 Z. z. o celoživotnom vzdelávaní, ktorý definuje národnú sústavu kvalifikácií, popisuje obsah informačného systému ďalšieho vzdelávania a syst</w:t>
            </w:r>
            <w:r>
              <w:t>ém monitorovania prognózovania vzdelávacích potrieb.</w:t>
            </w:r>
          </w:p>
          <w:p w:rsidR="00000000" w:rsidRDefault="00501E77">
            <w:pPr>
              <w:pStyle w:val="Normlnywebov"/>
            </w:pPr>
            <w:r>
              <w:rPr>
                <w:rStyle w:val="Zvraznenie"/>
              </w:rPr>
              <w:t>Priestor pre sumárny obrázok / graf / diagram, nepovinná informácia.</w:t>
            </w:r>
          </w:p>
        </w:tc>
      </w:tr>
      <w:tr w:rsidR="00000000">
        <w:trPr>
          <w:divId w:val="191038719"/>
          <w:cantSplit/>
          <w:tblCellSpacing w:w="15" w:type="dxa"/>
        </w:trPr>
        <w:tc>
          <w:tcPr>
            <w:tcW w:w="0" w:type="auto"/>
            <w:gridSpan w:val="2"/>
            <w:vAlign w:val="center"/>
            <w:hideMark/>
          </w:tcPr>
          <w:p w:rsidR="00000000" w:rsidRDefault="00501E77">
            <w:pPr>
              <w:pStyle w:val="Normlnywebov"/>
            </w:pPr>
            <w:r>
              <w:t> </w:t>
            </w:r>
          </w:p>
        </w:tc>
      </w:tr>
      <w:tr w:rsidR="00000000">
        <w:trPr>
          <w:divId w:val="191038719"/>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 </w:t>
            </w:r>
          </w:p>
        </w:tc>
      </w:tr>
      <w:tr w:rsidR="00000000">
        <w:trPr>
          <w:divId w:val="191038719"/>
          <w:cantSplit/>
          <w:tblCellSpacing w:w="15" w:type="dxa"/>
        </w:trPr>
        <w:tc>
          <w:tcPr>
            <w:tcW w:w="0" w:type="auto"/>
            <w:vAlign w:val="center"/>
            <w:hideMark/>
          </w:tcPr>
          <w:p w:rsidR="00000000" w:rsidRDefault="00501E77">
            <w:pPr>
              <w:pStyle w:val="Normlnywebov"/>
            </w:pPr>
            <w:r>
              <w:rPr>
                <w:rStyle w:val="inline-comment-marker"/>
                <w:b/>
                <w:bCs/>
              </w:rPr>
              <w:t>Rizik</w:t>
            </w:r>
            <w:r>
              <w:rPr>
                <w:rStyle w:val="inline-comment-marker"/>
                <w:b/>
                <w:bCs/>
              </w:rPr>
              <w:t>á</w:t>
            </w:r>
          </w:p>
        </w:tc>
        <w:tc>
          <w:tcPr>
            <w:tcW w:w="0" w:type="auto"/>
            <w:vAlign w:val="center"/>
            <w:hideMark/>
          </w:tcPr>
          <w:p w:rsidR="00000000" w:rsidRDefault="00501E77">
            <w:pPr>
              <w:pStyle w:val="Normlnywebov"/>
            </w:pPr>
            <w:r>
              <w:rPr>
                <w:rStyle w:val="Siln"/>
              </w:rPr>
              <w:t>Spresnenie identifikovaných rizí</w:t>
            </w:r>
            <w:r>
              <w:rPr>
                <w:rStyle w:val="Siln"/>
              </w:rPr>
              <w:t>k:</w:t>
            </w:r>
            <w:r>
              <w:t xml:space="preserve"> </w:t>
            </w:r>
            <w:r>
              <w:rPr>
                <w:rStyle w:val="Zvraznenie"/>
              </w:rPr>
              <w:t>Odkazy na relevantné identifikátory rizík v prílohe Riziká.</w:t>
            </w:r>
          </w:p>
        </w:tc>
      </w:tr>
      <w:tr w:rsidR="00000000">
        <w:trPr>
          <w:divId w:val="191038719"/>
          <w:cantSplit/>
          <w:tblCellSpacing w:w="15" w:type="dxa"/>
        </w:trPr>
        <w:tc>
          <w:tcPr>
            <w:tcW w:w="0" w:type="auto"/>
            <w:gridSpan w:val="2"/>
            <w:vAlign w:val="center"/>
            <w:hideMark/>
          </w:tcPr>
          <w:p w:rsidR="00000000" w:rsidRDefault="00501E77">
            <w:pPr>
              <w:rPr>
                <w:rFonts w:eastAsia="Times New Roman"/>
              </w:rPr>
            </w:pPr>
            <w:r>
              <w:rPr>
                <w:rFonts w:eastAsia="Times New Roman"/>
              </w:rPr>
              <w:t> </w:t>
            </w:r>
          </w:p>
        </w:tc>
      </w:tr>
      <w:tr w:rsidR="00000000">
        <w:trPr>
          <w:divId w:val="191038719"/>
          <w:cantSplit/>
          <w:tblCellSpacing w:w="15" w:type="dxa"/>
        </w:trPr>
        <w:tc>
          <w:tcPr>
            <w:tcW w:w="0" w:type="auto"/>
            <w:vAlign w:val="center"/>
            <w:hideMark/>
          </w:tcPr>
          <w:p w:rsidR="00000000" w:rsidRDefault="00501E77">
            <w:pPr>
              <w:pStyle w:val="Normlnywebov"/>
            </w:pPr>
            <w:r>
              <w:rPr>
                <w:rStyle w:val="Siln"/>
              </w:rPr>
              <w:t>Diagramy, modely, obrázky v plnom rozlíšení</w:t>
            </w:r>
          </w:p>
        </w:tc>
        <w:tc>
          <w:tcPr>
            <w:tcW w:w="0" w:type="auto"/>
            <w:vAlign w:val="center"/>
            <w:hideMark/>
          </w:tcPr>
          <w:p w:rsidR="00000000" w:rsidRDefault="00501E77">
            <w:pPr>
              <w:rPr>
                <w:rFonts w:eastAsia="Times New Roman"/>
                <w:sz w:val="20"/>
                <w:szCs w:val="20"/>
              </w:rPr>
            </w:pPr>
          </w:p>
        </w:tc>
      </w:tr>
      <w:tr w:rsidR="00000000">
        <w:trPr>
          <w:divId w:val="191038719"/>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t>Tabuľka 2 Riziká</w:t>
            </w:r>
          </w:p>
          <w:p w:rsidR="00000000" w:rsidRDefault="00501E77">
            <w:pPr>
              <w:pStyle w:val="Normlnywebov"/>
            </w:pPr>
            <w:r>
              <w:t>Tabuľka 4 Legislatíva</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3"/>
        <w:rPr>
          <w:rFonts w:eastAsia="Times New Roman"/>
        </w:rPr>
      </w:pPr>
      <w:r>
        <w:rPr>
          <w:rFonts w:eastAsia="Times New Roman"/>
        </w:rPr>
        <w:t>Architektúra</w:t>
      </w:r>
    </w:p>
    <w:p w:rsidR="00000000" w:rsidRDefault="00501E77">
      <w:pPr>
        <w:pStyle w:val="Nadpis4"/>
        <w:rPr>
          <w:rFonts w:eastAsia="Times New Roman"/>
        </w:rPr>
      </w:pPr>
      <w:r>
        <w:rPr>
          <w:rFonts w:eastAsia="Times New Roman"/>
        </w:rPr>
        <w:t>Biznis architektúra</w:t>
      </w:r>
    </w:p>
    <w:p w:rsidR="00000000" w:rsidRDefault="00501E77">
      <w:pPr>
        <w:pStyle w:val="Normlnywebov"/>
      </w:pPr>
      <w:r>
        <w:rPr>
          <w:rStyle w:val="Zvraznenie"/>
        </w:rPr>
        <w:t>Tabuľka 5 Biznis architektúra - aktuálny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083380926"/>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1083380926"/>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Súčasný systém vzdelávania a prípravy bez ohľadu na to, či ide o vzdelávacie aktivity v rámci školstva alebo aktivity komerčných subjektov resp. mimovládnych organizácií sa sústredí najmä na</w:t>
            </w:r>
            <w:r>
              <w:t xml:space="preserve"> poskytovanie a testovanie vedomostí a/alebo zručností. Pri kompetenciách je potrebné sledovať aj ďalšie zložky, a to schopnosti resp. postoje, pričom všetko tri zložky musia byť posudzované v rámci príslušného kontextu. Súčasný stav v porovnaní s požadova</w:t>
            </w:r>
            <w:r>
              <w:t>ným stavom je na nasledujúcom obrázku:</w:t>
            </w:r>
          </w:p>
          <w:p w:rsidR="00000000" w:rsidRDefault="00501E77">
            <w:pPr>
              <w:pStyle w:val="Normlnywebov"/>
            </w:pPr>
            <w:r>
              <w:rPr>
                <w:noProof/>
              </w:rPr>
              <w:drawing>
                <wp:inline distT="0" distB="0" distL="0" distR="0">
                  <wp:extent cx="4457700" cy="2505075"/>
                  <wp:effectExtent l="0" t="0" r="0" b="9525"/>
                  <wp:docPr id="8" name="Obrázok 8" descr="C:\40618e7ce44b2b65ce7f769dc233a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40618e7ce44b2b65ce7f769dc233a0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0" cy="2505075"/>
                          </a:xfrm>
                          <a:prstGeom prst="rect">
                            <a:avLst/>
                          </a:prstGeom>
                          <a:noFill/>
                          <a:ln>
                            <a:noFill/>
                          </a:ln>
                        </pic:spPr>
                      </pic:pic>
                    </a:graphicData>
                  </a:graphic>
                </wp:inline>
              </w:drawing>
            </w:r>
          </w:p>
          <w:p w:rsidR="00000000" w:rsidRDefault="00501E77">
            <w:pPr>
              <w:pStyle w:val="Normlnywebov"/>
            </w:pPr>
            <w:r>
              <w:rPr>
                <w:noProof/>
              </w:rPr>
              <w:drawing>
                <wp:inline distT="0" distB="0" distL="0" distR="0">
                  <wp:extent cx="4457700" cy="2505075"/>
                  <wp:effectExtent l="0" t="0" r="0" b="9525"/>
                  <wp:docPr id="9" name="Obrázok 9" descr="C:\72e4ad38917c50e040d41a66e709b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72e4ad38917c50e040d41a66e709b50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2505075"/>
                          </a:xfrm>
                          <a:prstGeom prst="rect">
                            <a:avLst/>
                          </a:prstGeom>
                          <a:noFill/>
                          <a:ln>
                            <a:noFill/>
                          </a:ln>
                        </pic:spPr>
                      </pic:pic>
                    </a:graphicData>
                  </a:graphic>
                </wp:inline>
              </w:drawing>
            </w:r>
          </w:p>
          <w:p w:rsidR="00000000" w:rsidRDefault="00501E77">
            <w:pPr>
              <w:pStyle w:val="Normlnywebov"/>
            </w:pPr>
            <w:r>
              <w:t>Obrázok 5: Cieľ projektu</w:t>
            </w:r>
          </w:p>
          <w:p w:rsidR="00000000" w:rsidRDefault="00501E77">
            <w:pPr>
              <w:pStyle w:val="Normlnywebov"/>
            </w:pPr>
            <w:r>
              <w:t>Jednotlivým častiam sa v súčasnosti venujú napríklad nasledujúce systémy: Základné školstvo – výučba predmetov súvisiacich s informatikou a hodnoteni</w:t>
            </w:r>
            <w:r>
              <w:t>e vo forme vysvedčenia Stredné školstvo - výučba predmetov súvisiacich s informatikou a hodnotenie vo forme vysvedčenia prípadne maturitného vysvedčenia Vysoké školy a univerzity - výučba predmetov súvisiacich s informatikou a hodnotenie vo forme známok zo</w:t>
            </w:r>
            <w:r>
              <w:t xml:space="preserve"> skúšok prípadne štátnic resp. výsledkov postgraduálneho štúdia – PhD. Komerčné subjekty – školenia komerčných produktov, ich používania, nasadzovania, testovania a podobne, nezriedka končiace certifikátom Sústava certifikátov počítačových zručností (ECDL)</w:t>
            </w:r>
            <w:r>
              <w:t xml:space="preserve"> - kurzy a certifikácia zručností v presne a prísne vymedzených oblastiach Vzdelávacie (eLearning) portály – časť informácií na takýchto portáloch sa týka aj informatiky. Voľne prístupné informácie na Internete – kurzy v oblasti písania webových stránok, v</w:t>
            </w:r>
            <w:r>
              <w:t>ideo návody inštalácií zariadení a podobne Vzhľadom k rôznorodosti prostredia a de-facto nenaplnenia požiadaviek na prípravu a certifikácií digitálnych kompetencií nebudú jednotlivé časti architektúry pre súčasný stav popisovať.</w:t>
            </w:r>
          </w:p>
        </w:tc>
      </w:tr>
      <w:tr w:rsidR="00000000">
        <w:trPr>
          <w:divId w:val="1083380926"/>
          <w:cantSplit/>
          <w:tblCellSpacing w:w="15" w:type="dxa"/>
        </w:trPr>
        <w:tc>
          <w:tcPr>
            <w:tcW w:w="0" w:type="auto"/>
            <w:gridSpan w:val="2"/>
            <w:vAlign w:val="center"/>
            <w:hideMark/>
          </w:tcPr>
          <w:p w:rsidR="00000000" w:rsidRDefault="00501E77">
            <w:pPr>
              <w:pStyle w:val="Normlnywebov"/>
            </w:pPr>
            <w:r>
              <w:rPr>
                <w:rStyle w:val="Zvraznenie"/>
              </w:rPr>
              <w:t>Priestor pre sumárny obrá</w:t>
            </w:r>
            <w:r>
              <w:rPr>
                <w:rStyle w:val="Zvraznenie"/>
              </w:rPr>
              <w:t>zok: ArchiMate štandardný viewpoint – „Product viewpoint", „Business Process Viewpoint"</w:t>
            </w:r>
          </w:p>
          <w:p w:rsidR="00000000" w:rsidRDefault="00501E77">
            <w:pPr>
              <w:pStyle w:val="Normlnywebov"/>
            </w:pPr>
            <w:r>
              <w:t> </w:t>
            </w:r>
          </w:p>
        </w:tc>
      </w:tr>
      <w:tr w:rsidR="00000000">
        <w:trPr>
          <w:divId w:val="1083380926"/>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 </w:t>
            </w:r>
          </w:p>
        </w:tc>
      </w:tr>
      <w:tr w:rsidR="00000000">
        <w:trPr>
          <w:divId w:val="1083380926"/>
          <w:cantSplit/>
          <w:tblCellSpacing w:w="15" w:type="dxa"/>
        </w:trPr>
        <w:tc>
          <w:tcPr>
            <w:tcW w:w="0" w:type="auto"/>
            <w:vAlign w:val="center"/>
            <w:hideMark/>
          </w:tcPr>
          <w:p w:rsidR="00000000" w:rsidRDefault="00501E77">
            <w:pPr>
              <w:pStyle w:val="Normlnywebov"/>
            </w:pPr>
            <w:r>
              <w:rPr>
                <w:rStyle w:val="inline-comment-marker"/>
                <w:b/>
                <w:bCs/>
              </w:rPr>
              <w:t>Rizik</w:t>
            </w:r>
            <w:r>
              <w:rPr>
                <w:rStyle w:val="inline-comment-marker"/>
                <w:b/>
                <w:bCs/>
              </w:rPr>
              <w:t>á</w:t>
            </w:r>
          </w:p>
        </w:tc>
        <w:tc>
          <w:tcPr>
            <w:tcW w:w="0" w:type="auto"/>
            <w:vAlign w:val="center"/>
            <w:hideMark/>
          </w:tcPr>
          <w:p w:rsidR="00000000" w:rsidRDefault="00501E77">
            <w:pPr>
              <w:pStyle w:val="Normlnywebov"/>
            </w:pPr>
            <w:r>
              <w:rPr>
                <w:rStyle w:val="Siln"/>
              </w:rPr>
              <w:t>Spresnenie identifikovaných rizík:</w:t>
            </w:r>
            <w:r>
              <w:t xml:space="preserve"> </w:t>
            </w:r>
            <w:r>
              <w:rPr>
                <w:rStyle w:val="Zvraznenie"/>
              </w:rPr>
              <w:t>Odkazy na relevantné identifikáto</w:t>
            </w:r>
            <w:r>
              <w:rPr>
                <w:rStyle w:val="Zvraznenie"/>
              </w:rPr>
              <w:t>ry rizík v prílohe Riziká.</w:t>
            </w:r>
          </w:p>
          <w:p w:rsidR="00000000" w:rsidRDefault="00501E77">
            <w:pPr>
              <w:pStyle w:val="Normlnywebov"/>
            </w:pPr>
            <w:r>
              <w:rPr>
                <w:rStyle w:val="Zvraznenie"/>
              </w:rPr>
              <w:t>RB_01, RB_02</w:t>
            </w:r>
          </w:p>
        </w:tc>
      </w:tr>
      <w:tr w:rsidR="00000000">
        <w:trPr>
          <w:divId w:val="1083380926"/>
          <w:cantSplit/>
          <w:tblCellSpacing w:w="15" w:type="dxa"/>
        </w:trPr>
        <w:tc>
          <w:tcPr>
            <w:tcW w:w="0" w:type="auto"/>
            <w:gridSpan w:val="2"/>
            <w:vAlign w:val="center"/>
            <w:hideMark/>
          </w:tcPr>
          <w:p w:rsidR="00000000" w:rsidRDefault="00501E77">
            <w:pPr>
              <w:pStyle w:val="Normlnywebov"/>
            </w:pPr>
            <w:r>
              <w:rPr>
                <w:rStyle w:val="Zvraznenie"/>
              </w:rPr>
              <w:t>Stručná charakteristika identifikovaných rizík (Max. 400 znakov)</w:t>
            </w:r>
          </w:p>
          <w:p w:rsidR="00000000" w:rsidRDefault="00501E77">
            <w:pPr>
              <w:numPr>
                <w:ilvl w:val="0"/>
                <w:numId w:val="22"/>
              </w:numPr>
              <w:spacing w:before="100" w:beforeAutospacing="1" w:after="100" w:afterAutospacing="1"/>
              <w:rPr>
                <w:rFonts w:eastAsia="Times New Roman"/>
              </w:rPr>
            </w:pPr>
            <w:r>
              <w:rPr>
                <w:rFonts w:eastAsia="Times New Roman"/>
              </w:rPr>
              <w:t>Stagnácia konkurencieschopnosti štátu</w:t>
            </w:r>
          </w:p>
          <w:p w:rsidR="00000000" w:rsidRDefault="00501E77">
            <w:pPr>
              <w:numPr>
                <w:ilvl w:val="0"/>
                <w:numId w:val="22"/>
              </w:numPr>
              <w:spacing w:before="100" w:beforeAutospacing="1" w:after="100" w:afterAutospacing="1"/>
              <w:rPr>
                <w:rFonts w:eastAsia="Times New Roman"/>
              </w:rPr>
            </w:pPr>
            <w:r>
              <w:rPr>
                <w:rFonts w:eastAsia="Times New Roman"/>
              </w:rPr>
              <w:t>Zvyšovanie nekompatibility výsledkov celoživotného vzdelávania s potrebami globálnej ekonomiky</w:t>
            </w:r>
          </w:p>
        </w:tc>
      </w:tr>
      <w:tr w:rsidR="00000000">
        <w:trPr>
          <w:divId w:val="1083380926"/>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1083380926"/>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4"/>
        <w:rPr>
          <w:rFonts w:eastAsia="Times New Roman"/>
        </w:rPr>
      </w:pPr>
      <w:r>
        <w:rPr>
          <w:rStyle w:val="inline-comment-marker"/>
          <w:rFonts w:eastAsia="Times New Roman"/>
        </w:rPr>
        <w:t>Architektúra informačných systémo</w:t>
      </w:r>
      <w:r>
        <w:rPr>
          <w:rStyle w:val="inline-comment-marker"/>
          <w:rFonts w:eastAsia="Times New Roman"/>
        </w:rPr>
        <w:t>v</w:t>
      </w:r>
    </w:p>
    <w:p w:rsidR="00000000" w:rsidRDefault="00501E77">
      <w:pPr>
        <w:pStyle w:val="Normlnywebov"/>
      </w:pPr>
      <w:r>
        <w:rPr>
          <w:rStyle w:val="Zvraznenie"/>
        </w:rPr>
        <w:t>Tabuľka 6 Architektúra informačných systémov - aktuálny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874923693"/>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874923693"/>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rPr>
                <w:rStyle w:val="Zvraznenie"/>
                <w:rFonts w:ascii="Arial Narrow" w:hAnsi="Arial Narrow"/>
                <w:sz w:val="22"/>
                <w:szCs w:val="22"/>
              </w:rPr>
              <w:t>V súčasnosti IS centrálnej certifikácie digitálnych kompetencií neexistuje, preto aktuálny sta</w:t>
            </w:r>
            <w:r>
              <w:rPr>
                <w:rStyle w:val="Zvraznenie"/>
                <w:rFonts w:ascii="Arial Narrow" w:hAnsi="Arial Narrow"/>
                <w:sz w:val="22"/>
                <w:szCs w:val="22"/>
              </w:rPr>
              <w:t>v nemôžeme popísať.</w:t>
            </w:r>
          </w:p>
        </w:tc>
      </w:tr>
      <w:tr w:rsidR="00000000">
        <w:trPr>
          <w:divId w:val="874923693"/>
          <w:cantSplit/>
          <w:tblCellSpacing w:w="15" w:type="dxa"/>
        </w:trPr>
        <w:tc>
          <w:tcPr>
            <w:tcW w:w="0" w:type="auto"/>
            <w:gridSpan w:val="2"/>
            <w:vAlign w:val="center"/>
            <w:hideMark/>
          </w:tcPr>
          <w:p w:rsidR="00000000" w:rsidRDefault="00501E77">
            <w:pPr>
              <w:pStyle w:val="Normlnywebov"/>
            </w:pPr>
            <w:r>
              <w:rPr>
                <w:rStyle w:val="Zvraznenie"/>
              </w:rPr>
              <w:t>Priestor pre sumárny obrázok: ArchiMate štandardný viewpoint – „Application Usage Viewpoint", „Application Co-operation Viewpoint"</w:t>
            </w:r>
          </w:p>
        </w:tc>
      </w:tr>
      <w:tr w:rsidR="00000000">
        <w:trPr>
          <w:divId w:val="874923693"/>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tc>
      </w:tr>
      <w:tr w:rsidR="00000000">
        <w:trPr>
          <w:divId w:val="874923693"/>
          <w:cantSplit/>
          <w:tblCellSpacing w:w="15" w:type="dxa"/>
        </w:trPr>
        <w:tc>
          <w:tcPr>
            <w:tcW w:w="0" w:type="auto"/>
            <w:vAlign w:val="center"/>
            <w:hideMark/>
          </w:tcPr>
          <w:p w:rsidR="00000000" w:rsidRDefault="00501E77">
            <w:pPr>
              <w:pStyle w:val="Normlnywebov"/>
            </w:pPr>
            <w:r>
              <w:rPr>
                <w:rStyle w:val="Siln"/>
              </w:rPr>
              <w:t>Riziká</w:t>
            </w:r>
          </w:p>
        </w:tc>
        <w:tc>
          <w:tcPr>
            <w:tcW w:w="0" w:type="auto"/>
            <w:vAlign w:val="center"/>
            <w:hideMark/>
          </w:tcPr>
          <w:p w:rsidR="00000000" w:rsidRDefault="00501E77">
            <w:pPr>
              <w:pStyle w:val="Normlnywebov"/>
            </w:pPr>
            <w:r>
              <w:rPr>
                <w:rStyle w:val="Siln"/>
              </w:rPr>
              <w:t>Spresn</w:t>
            </w:r>
            <w:r>
              <w:rPr>
                <w:rStyle w:val="Siln"/>
              </w:rPr>
              <w:t>enie identifikovaných rizík:</w:t>
            </w:r>
            <w:r>
              <w:t xml:space="preserve"> </w:t>
            </w:r>
            <w:r>
              <w:rPr>
                <w:rStyle w:val="Zvraznenie"/>
              </w:rPr>
              <w:t>Odkazy na relevantné identifikátory rizík v prílohe Riziká.</w:t>
            </w:r>
          </w:p>
        </w:tc>
      </w:tr>
      <w:tr w:rsidR="00000000">
        <w:trPr>
          <w:divId w:val="874923693"/>
          <w:cantSplit/>
          <w:tblCellSpacing w:w="15" w:type="dxa"/>
        </w:trPr>
        <w:tc>
          <w:tcPr>
            <w:tcW w:w="0" w:type="auto"/>
            <w:gridSpan w:val="2"/>
            <w:vAlign w:val="center"/>
            <w:hideMark/>
          </w:tcPr>
          <w:p w:rsidR="00000000" w:rsidRDefault="00501E77">
            <w:pPr>
              <w:pStyle w:val="Normlnywebov"/>
            </w:pPr>
            <w:r>
              <w:rPr>
                <w:rStyle w:val="Zvraznenie"/>
              </w:rPr>
              <w:t>Stručná charakteristika identifikovaných rizík (Max. 400 znakov)</w:t>
            </w:r>
          </w:p>
          <w:p w:rsidR="00000000" w:rsidRDefault="00501E77">
            <w:pPr>
              <w:pStyle w:val="Normlnywebov"/>
            </w:pPr>
            <w:r>
              <w:t> </w:t>
            </w:r>
          </w:p>
        </w:tc>
      </w:tr>
      <w:tr w:rsidR="00000000">
        <w:trPr>
          <w:divId w:val="874923693"/>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874923693"/>
          <w:cantSplit/>
          <w:tblCellSpacing w:w="15" w:type="dxa"/>
        </w:trPr>
        <w:tc>
          <w:tcPr>
            <w:tcW w:w="0" w:type="auto"/>
            <w:vAlign w:val="center"/>
            <w:hideMark/>
          </w:tcPr>
          <w:p w:rsidR="00000000" w:rsidRDefault="00501E77">
            <w:pPr>
              <w:pStyle w:val="Normlnywebov"/>
            </w:pPr>
            <w:r>
              <w:rPr>
                <w:rStyle w:val="Zvraznenie"/>
              </w:rPr>
              <w:t>Zoznam príloh. Prílohy obsahujú informácie v</w:t>
            </w:r>
            <w:r>
              <w:rPr>
                <w:rStyle w:val="Zvraznenie"/>
              </w:rPr>
              <w:t> štruktúrovanej forme.</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4"/>
        <w:rPr>
          <w:rFonts w:eastAsia="Times New Roman"/>
        </w:rPr>
      </w:pPr>
      <w:r>
        <w:rPr>
          <w:rStyle w:val="inline-comment-marker"/>
          <w:rFonts w:eastAsia="Times New Roman"/>
        </w:rPr>
        <w:t>Technologická architektúr</w:t>
      </w:r>
      <w:r>
        <w:rPr>
          <w:rStyle w:val="inline-comment-marker"/>
          <w:rFonts w:eastAsia="Times New Roman"/>
        </w:rPr>
        <w:t>a</w:t>
      </w:r>
    </w:p>
    <w:p w:rsidR="00000000" w:rsidRDefault="00501E77">
      <w:pPr>
        <w:pStyle w:val="Normlnywebov"/>
      </w:pPr>
      <w:r>
        <w:rPr>
          <w:rStyle w:val="Zvraznenie"/>
        </w:rPr>
        <w:t>Tabuľka 7 Technologická architektúra - aktuálny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021980236"/>
          <w:cantSplit/>
          <w:tblCellSpacing w:w="15" w:type="dxa"/>
        </w:trPr>
        <w:tc>
          <w:tcPr>
            <w:tcW w:w="0" w:type="auto"/>
            <w:gridSpan w:val="2"/>
            <w:vAlign w:val="center"/>
            <w:hideMark/>
          </w:tcPr>
          <w:p w:rsidR="00000000" w:rsidRDefault="00501E77">
            <w:pPr>
              <w:pStyle w:val="Normlnywebov"/>
            </w:pPr>
            <w:r>
              <w:rPr>
                <w:rStyle w:val="Siln"/>
              </w:rPr>
              <w:t>Súhrnný popis</w:t>
            </w:r>
          </w:p>
          <w:p w:rsidR="00000000" w:rsidRDefault="00501E77">
            <w:pPr>
              <w:pStyle w:val="Normlnywebov"/>
            </w:pPr>
            <w:r>
              <w:t> </w:t>
            </w:r>
          </w:p>
        </w:tc>
      </w:tr>
      <w:tr w:rsidR="00000000">
        <w:trPr>
          <w:divId w:val="1021980236"/>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rPr>
                <w:rStyle w:val="Zvraznenie"/>
              </w:rPr>
              <w:t>V súčasnosti IS centrálnej certifikácie digitálnych kompetencií neexistuje, preto aktuálny stav technologickej architektúry nemôžeme popísať.</w:t>
            </w:r>
          </w:p>
        </w:tc>
      </w:tr>
      <w:tr w:rsidR="00000000">
        <w:trPr>
          <w:divId w:val="1021980236"/>
          <w:cantSplit/>
          <w:tblCellSpacing w:w="15" w:type="dxa"/>
        </w:trPr>
        <w:tc>
          <w:tcPr>
            <w:tcW w:w="0" w:type="auto"/>
            <w:gridSpan w:val="2"/>
            <w:vAlign w:val="center"/>
            <w:hideMark/>
          </w:tcPr>
          <w:p w:rsidR="00000000" w:rsidRDefault="00501E77">
            <w:pPr>
              <w:pStyle w:val="Normlnywebov"/>
            </w:pPr>
            <w:r>
              <w:rPr>
                <w:rStyle w:val="Zvraznenie"/>
              </w:rPr>
              <w:t>Priestor pre sumárny obrázok: ArchiMate štanda</w:t>
            </w:r>
            <w:r>
              <w:rPr>
                <w:rStyle w:val="Zvraznenie"/>
              </w:rPr>
              <w:t>rdný viewpoint – „Infrastructure Usage Viewpoint", „Infrastructure Viewpoint"</w:t>
            </w:r>
          </w:p>
          <w:p w:rsidR="00000000" w:rsidRDefault="00501E77">
            <w:pPr>
              <w:pStyle w:val="Normlnywebov"/>
            </w:pPr>
            <w:r>
              <w:t> </w:t>
            </w:r>
          </w:p>
        </w:tc>
      </w:tr>
      <w:tr w:rsidR="00000000">
        <w:trPr>
          <w:divId w:val="1021980236"/>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 </w:t>
            </w:r>
          </w:p>
        </w:tc>
      </w:tr>
      <w:tr w:rsidR="00000000">
        <w:trPr>
          <w:divId w:val="1021980236"/>
          <w:cantSplit/>
          <w:tblCellSpacing w:w="15" w:type="dxa"/>
        </w:trPr>
        <w:tc>
          <w:tcPr>
            <w:tcW w:w="0" w:type="auto"/>
            <w:vAlign w:val="center"/>
            <w:hideMark/>
          </w:tcPr>
          <w:p w:rsidR="00000000" w:rsidRDefault="00501E77">
            <w:pPr>
              <w:pStyle w:val="Normlnywebov"/>
            </w:pPr>
            <w:r>
              <w:rPr>
                <w:rStyle w:val="Siln"/>
              </w:rPr>
              <w:t>Riziká</w:t>
            </w:r>
          </w:p>
        </w:tc>
        <w:tc>
          <w:tcPr>
            <w:tcW w:w="0" w:type="auto"/>
            <w:vAlign w:val="center"/>
            <w:hideMark/>
          </w:tcPr>
          <w:p w:rsidR="00000000" w:rsidRDefault="00501E77">
            <w:pPr>
              <w:pStyle w:val="Normlnywebov"/>
            </w:pPr>
            <w:r>
              <w:rPr>
                <w:rStyle w:val="Siln"/>
              </w:rPr>
              <w:t>Spresnenie identifikovaných rizík:</w:t>
            </w:r>
            <w:r>
              <w:t xml:space="preserve"> </w:t>
            </w:r>
            <w:r>
              <w:rPr>
                <w:rStyle w:val="Zvraznenie"/>
              </w:rPr>
              <w:t>Odkazy na relevantné identifikátory rizík v</w:t>
            </w:r>
            <w:r>
              <w:rPr>
                <w:rStyle w:val="Zvraznenie"/>
              </w:rPr>
              <w:t> prílohe Riziká.</w:t>
            </w:r>
          </w:p>
        </w:tc>
      </w:tr>
      <w:tr w:rsidR="00000000">
        <w:trPr>
          <w:divId w:val="1021980236"/>
          <w:cantSplit/>
          <w:tblCellSpacing w:w="15" w:type="dxa"/>
        </w:trPr>
        <w:tc>
          <w:tcPr>
            <w:tcW w:w="0" w:type="auto"/>
            <w:gridSpan w:val="2"/>
            <w:vAlign w:val="center"/>
            <w:hideMark/>
          </w:tcPr>
          <w:p w:rsidR="00000000" w:rsidRDefault="00501E77">
            <w:pPr>
              <w:pStyle w:val="Normlnywebov"/>
            </w:pPr>
            <w:r>
              <w:rPr>
                <w:rStyle w:val="Zvraznenie"/>
              </w:rPr>
              <w:t>Stručná charakteristika identifikovaných rizík (Max. 400 znakov)</w:t>
            </w:r>
          </w:p>
          <w:p w:rsidR="00000000" w:rsidRDefault="00501E77">
            <w:pPr>
              <w:pStyle w:val="Normlnywebov"/>
            </w:pPr>
            <w:r>
              <w:t> </w:t>
            </w:r>
          </w:p>
        </w:tc>
      </w:tr>
      <w:tr w:rsidR="00000000">
        <w:trPr>
          <w:divId w:val="1021980236"/>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1021980236"/>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4"/>
        <w:rPr>
          <w:rFonts w:eastAsia="Times New Roman"/>
        </w:rPr>
      </w:pPr>
      <w:r>
        <w:rPr>
          <w:rStyle w:val="inline-comment-marker"/>
          <w:rFonts w:eastAsia="Times New Roman"/>
        </w:rPr>
        <w:t>Bezpečnostná architektúr</w:t>
      </w:r>
      <w:r>
        <w:rPr>
          <w:rStyle w:val="inline-comment-marker"/>
          <w:rFonts w:eastAsia="Times New Roman"/>
        </w:rPr>
        <w:t>a</w:t>
      </w:r>
    </w:p>
    <w:p w:rsidR="00000000" w:rsidRDefault="00501E77">
      <w:pPr>
        <w:pStyle w:val="Normlnywebov"/>
      </w:pPr>
      <w:r>
        <w:rPr>
          <w:rStyle w:val="Zvraznenie"/>
        </w:rPr>
        <w:t>Tabuľka 8 Bezpečnostná architektúra - aktuálny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662703022"/>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662703022"/>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rPr>
                <w:rStyle w:val="Zvraznenie"/>
                <w:rFonts w:ascii="Arial Narrow" w:hAnsi="Arial Narrow"/>
                <w:sz w:val="22"/>
                <w:szCs w:val="22"/>
              </w:rPr>
              <w:t>V súčasnosti IS centrálnej certifikácie digitálnych kompetencií neexistuje, preto aktuálny stav bezpečnostnej architektúry nemôžeme popísať.</w:t>
            </w:r>
          </w:p>
          <w:p w:rsidR="00000000" w:rsidRDefault="00501E77">
            <w:pPr>
              <w:pStyle w:val="Normlnywebov"/>
            </w:pPr>
            <w:r>
              <w:t> </w:t>
            </w:r>
          </w:p>
        </w:tc>
      </w:tr>
      <w:tr w:rsidR="00000000">
        <w:trPr>
          <w:divId w:val="662703022"/>
          <w:cantSplit/>
          <w:tblCellSpacing w:w="15" w:type="dxa"/>
        </w:trPr>
        <w:tc>
          <w:tcPr>
            <w:tcW w:w="0" w:type="auto"/>
            <w:gridSpan w:val="2"/>
            <w:vAlign w:val="center"/>
            <w:hideMark/>
          </w:tcPr>
          <w:p w:rsidR="00000000" w:rsidRDefault="00501E77">
            <w:pPr>
              <w:pStyle w:val="Normlnywebov"/>
            </w:pPr>
            <w:r>
              <w:rPr>
                <w:rStyle w:val="Zvraznenie"/>
              </w:rPr>
              <w:t>Priestor pre sumárny obrázok / graf / diagra</w:t>
            </w:r>
            <w:r>
              <w:rPr>
                <w:rStyle w:val="Zvraznenie"/>
              </w:rPr>
              <w:t>m.</w:t>
            </w:r>
          </w:p>
        </w:tc>
      </w:tr>
      <w:tr w:rsidR="00000000">
        <w:trPr>
          <w:divId w:val="662703022"/>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tc>
      </w:tr>
      <w:tr w:rsidR="00000000">
        <w:trPr>
          <w:divId w:val="662703022"/>
          <w:cantSplit/>
          <w:tblCellSpacing w:w="15" w:type="dxa"/>
        </w:trPr>
        <w:tc>
          <w:tcPr>
            <w:tcW w:w="0" w:type="auto"/>
            <w:vAlign w:val="center"/>
            <w:hideMark/>
          </w:tcPr>
          <w:p w:rsidR="00000000" w:rsidRDefault="00501E77">
            <w:pPr>
              <w:pStyle w:val="Normlnywebov"/>
            </w:pPr>
            <w:r>
              <w:rPr>
                <w:rStyle w:val="Siln"/>
              </w:rPr>
              <w:t>Riziká</w:t>
            </w:r>
          </w:p>
        </w:tc>
        <w:tc>
          <w:tcPr>
            <w:tcW w:w="0" w:type="auto"/>
            <w:vAlign w:val="center"/>
            <w:hideMark/>
          </w:tcPr>
          <w:p w:rsidR="00000000" w:rsidRDefault="00501E77">
            <w:pPr>
              <w:pStyle w:val="Normlnywebov"/>
            </w:pPr>
            <w:r>
              <w:rPr>
                <w:rStyle w:val="Siln"/>
              </w:rPr>
              <w:t>Spresnenie identifikovaných rizík:</w:t>
            </w:r>
            <w:r>
              <w:t xml:space="preserve"> </w:t>
            </w:r>
            <w:r>
              <w:rPr>
                <w:rStyle w:val="Zvraznenie"/>
              </w:rPr>
              <w:t>Odkazy na relevantné identifikátory rizík v prílohe Riziká.</w:t>
            </w:r>
          </w:p>
        </w:tc>
      </w:tr>
      <w:tr w:rsidR="00000000">
        <w:trPr>
          <w:divId w:val="662703022"/>
          <w:cantSplit/>
          <w:tblCellSpacing w:w="15" w:type="dxa"/>
        </w:trPr>
        <w:tc>
          <w:tcPr>
            <w:tcW w:w="0" w:type="auto"/>
            <w:gridSpan w:val="2"/>
            <w:vAlign w:val="center"/>
            <w:hideMark/>
          </w:tcPr>
          <w:p w:rsidR="00000000" w:rsidRDefault="00501E77">
            <w:pPr>
              <w:pStyle w:val="Normlnywebov"/>
            </w:pPr>
            <w:r>
              <w:rPr>
                <w:rStyle w:val="Zvraznenie"/>
              </w:rPr>
              <w:t>Stručná charakteristika identifikovaných rizík (Max. 400 znak</w:t>
            </w:r>
            <w:r>
              <w:rPr>
                <w:rStyle w:val="Zvraznenie"/>
              </w:rPr>
              <w:t>ov)</w:t>
            </w:r>
          </w:p>
        </w:tc>
      </w:tr>
      <w:tr w:rsidR="00000000">
        <w:trPr>
          <w:divId w:val="662703022"/>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662703022"/>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3"/>
        <w:rPr>
          <w:rFonts w:eastAsia="Times New Roman"/>
        </w:rPr>
      </w:pPr>
      <w:r>
        <w:rPr>
          <w:rStyle w:val="inline-comment-marker"/>
          <w:rFonts w:eastAsia="Times New Roman"/>
        </w:rPr>
        <w:t>Prevádzk</w:t>
      </w:r>
      <w:r>
        <w:rPr>
          <w:rStyle w:val="inline-comment-marker"/>
          <w:rFonts w:eastAsia="Times New Roman"/>
        </w:rPr>
        <w:t>a</w:t>
      </w:r>
    </w:p>
    <w:p w:rsidR="00000000" w:rsidRDefault="00501E77">
      <w:pPr>
        <w:pStyle w:val="Normlnywebov"/>
      </w:pPr>
      <w:r>
        <w:rPr>
          <w:rStyle w:val="Zvraznenie"/>
        </w:rPr>
        <w:t>Tabuľka 9 Prevádzka - aktuálny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601837117"/>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1601837117"/>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rPr>
                <w:rStyle w:val="Zvraznenie"/>
                <w:rFonts w:ascii="Arial Narrow" w:hAnsi="Arial Narrow"/>
                <w:sz w:val="22"/>
                <w:szCs w:val="22"/>
              </w:rPr>
              <w:t>V súčasnosti IS centrálnej certifikácie digitálnych kompetencií neexistuje, preto aktuálny stav jeho prevádzky nemôžeme popísať.</w:t>
            </w:r>
          </w:p>
        </w:tc>
      </w:tr>
      <w:tr w:rsidR="00000000">
        <w:trPr>
          <w:divId w:val="1601837117"/>
          <w:cantSplit/>
          <w:tblCellSpacing w:w="15" w:type="dxa"/>
        </w:trPr>
        <w:tc>
          <w:tcPr>
            <w:tcW w:w="0" w:type="auto"/>
            <w:gridSpan w:val="2"/>
            <w:vAlign w:val="center"/>
            <w:hideMark/>
          </w:tcPr>
          <w:p w:rsidR="00000000" w:rsidRDefault="00501E77">
            <w:pPr>
              <w:pStyle w:val="Normlnywebov"/>
            </w:pPr>
            <w:r>
              <w:rPr>
                <w:rStyle w:val="Zvraznenie"/>
              </w:rPr>
              <w:t>Priestor pre sumárny obrázok / graf / diagram, nepovinná informácia.</w:t>
            </w:r>
          </w:p>
          <w:p w:rsidR="00000000" w:rsidRDefault="00501E77">
            <w:pPr>
              <w:pStyle w:val="Normlnywebov"/>
            </w:pPr>
            <w:r>
              <w:t> </w:t>
            </w:r>
          </w:p>
        </w:tc>
      </w:tr>
      <w:tr w:rsidR="00000000">
        <w:trPr>
          <w:divId w:val="1601837117"/>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 </w:t>
            </w:r>
          </w:p>
        </w:tc>
      </w:tr>
      <w:tr w:rsidR="00000000">
        <w:trPr>
          <w:divId w:val="1601837117"/>
          <w:cantSplit/>
          <w:tblCellSpacing w:w="15" w:type="dxa"/>
        </w:trPr>
        <w:tc>
          <w:tcPr>
            <w:tcW w:w="0" w:type="auto"/>
            <w:vAlign w:val="center"/>
            <w:hideMark/>
          </w:tcPr>
          <w:p w:rsidR="00000000" w:rsidRDefault="00501E77">
            <w:pPr>
              <w:pStyle w:val="Normlnywebov"/>
            </w:pPr>
            <w:r>
              <w:rPr>
                <w:rStyle w:val="Siln"/>
              </w:rPr>
              <w:t>Riziká</w:t>
            </w:r>
          </w:p>
        </w:tc>
        <w:tc>
          <w:tcPr>
            <w:tcW w:w="0" w:type="auto"/>
            <w:vAlign w:val="center"/>
            <w:hideMark/>
          </w:tcPr>
          <w:p w:rsidR="00000000" w:rsidRDefault="00501E77">
            <w:pPr>
              <w:pStyle w:val="Normlnywebov"/>
            </w:pPr>
            <w:r>
              <w:rPr>
                <w:rStyle w:val="Siln"/>
              </w:rPr>
              <w:t>Spresnenie identifikovaných rizík:</w:t>
            </w:r>
            <w:r>
              <w:t xml:space="preserve"> </w:t>
            </w:r>
            <w:r>
              <w:rPr>
                <w:rStyle w:val="Zvraznenie"/>
              </w:rPr>
              <w:t xml:space="preserve">Odkazy na relevantné identifikátory rizík v prílohe </w:t>
            </w:r>
            <w:r>
              <w:rPr>
                <w:rStyle w:val="Zvraznenie"/>
              </w:rPr>
              <w:t>Riziká.</w:t>
            </w:r>
          </w:p>
        </w:tc>
      </w:tr>
      <w:tr w:rsidR="00000000">
        <w:trPr>
          <w:divId w:val="1601837117"/>
          <w:cantSplit/>
          <w:tblCellSpacing w:w="15" w:type="dxa"/>
        </w:trPr>
        <w:tc>
          <w:tcPr>
            <w:tcW w:w="0" w:type="auto"/>
            <w:gridSpan w:val="2"/>
            <w:vAlign w:val="center"/>
            <w:hideMark/>
          </w:tcPr>
          <w:p w:rsidR="00000000" w:rsidRDefault="00501E77">
            <w:pPr>
              <w:pStyle w:val="Normlnywebov"/>
            </w:pPr>
            <w:r>
              <w:rPr>
                <w:rStyle w:val="Zvraznenie"/>
              </w:rPr>
              <w:t>Stručná charakteristika identifikovaných rizík (Max. 400 znakov)</w:t>
            </w:r>
          </w:p>
        </w:tc>
      </w:tr>
      <w:tr w:rsidR="00000000">
        <w:trPr>
          <w:divId w:val="1601837117"/>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1601837117"/>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2"/>
        <w:rPr>
          <w:rFonts w:eastAsia="Times New Roman"/>
        </w:rPr>
      </w:pPr>
      <w:r>
        <w:rPr>
          <w:rStyle w:val="inline-comment-marker"/>
          <w:rFonts w:eastAsia="Times New Roman"/>
        </w:rPr>
        <w:t>Alternatívne riešeni</w:t>
      </w:r>
      <w:r>
        <w:rPr>
          <w:rStyle w:val="inline-comment-marker"/>
          <w:rFonts w:eastAsia="Times New Roman"/>
        </w:rPr>
        <w:t>a</w:t>
      </w:r>
    </w:p>
    <w:p w:rsidR="00000000" w:rsidRDefault="00501E77">
      <w:pPr>
        <w:pStyle w:val="Zkladntext"/>
      </w:pPr>
      <w:r>
        <w:t>Spracovanie</w:t>
      </w:r>
      <w:r>
        <w:t xml:space="preserve"> </w:t>
      </w:r>
      <w:r>
        <w:rPr>
          <w:rStyle w:val="inline-comment-marker"/>
        </w:rPr>
        <w:t>alternatí</w:t>
      </w:r>
      <w:r>
        <w:rPr>
          <w:rStyle w:val="inline-comment-marker"/>
        </w:rPr>
        <w:t>v</w:t>
      </w:r>
      <w:r>
        <w:t xml:space="preserve"> riešenia vychádza z</w:t>
      </w:r>
      <w:r>
        <w:rPr>
          <w:rStyle w:val="Zvraznenie"/>
        </w:rPr>
        <w:t xml:space="preserve"> „Metodického usmernenia pre spracovanie štúdií uskutočniteľností v rámci OP II“</w:t>
      </w:r>
      <w:r>
        <w:t>, podľa ktorého je účelom kapitoly prehľadným štruktúrovaným spôsobom vysvetliť iné možné varianty riešenia (minimálne dve alternatívy), ktoré však neboli spracovateľom prijaté z určitého dôvodu, ktorý je potrebné stručne popísať. Metodika štúdie pritom ne</w:t>
      </w:r>
      <w:r>
        <w:t>požaduje uvedenie všetkých možných alebo uvažovaných alternatív a stanovuje minimálny počet na dve vyhodnotené alternatívy. Vyhodnotenie zvažovaných alternatív je realizované zhodnotením výhod a nevýhod jednotlivých alternatív, vzájomným porovnaním a ich k</w:t>
      </w:r>
      <w:r>
        <w:t>onečným posúdením. Zvolená preferovaná alternatíva je ďalej detailnejšie popísaná v ďalších kapitolách a je k nej a k ostatným alternatívam vypracovaná CBA v zmysle platnej metodiky. Na základe dopytov pripomienkujúcich subjektov bola vypracovaná multikrit</w:t>
      </w:r>
      <w:r>
        <w:t>eriálna analýza porovnávajúca jednotlivé alternatívy s výnimkou zachovania súčasného stavu, ktorá je prílohou tejto štúdie. </w:t>
      </w:r>
    </w:p>
    <w:p w:rsidR="00000000" w:rsidRDefault="00501E77">
      <w:pPr>
        <w:pStyle w:val="Zkladntext"/>
      </w:pPr>
      <w:r>
        <w:rPr>
          <w:rStyle w:val="inline-comment-marker"/>
        </w:rPr>
        <w:t>Vybrané alternatívy sú nasledujúc</w:t>
      </w:r>
      <w:r>
        <w:rPr>
          <w:rStyle w:val="inline-comment-marker"/>
        </w:rPr>
        <w:t>e</w:t>
      </w:r>
      <w:r>
        <w:t>:</w:t>
      </w:r>
    </w:p>
    <w:p w:rsidR="00000000" w:rsidRDefault="00501E77">
      <w:pPr>
        <w:pStyle w:val="Zkladntext"/>
      </w:pPr>
      <w:r>
        <w:rPr>
          <w:rStyle w:val="inline-comment-marker"/>
        </w:rPr>
        <w:t>Alternatív</w:t>
      </w:r>
      <w:r>
        <w:rPr>
          <w:rStyle w:val="inline-comment-marker"/>
        </w:rPr>
        <w:t>a</w:t>
      </w:r>
      <w:r>
        <w:t xml:space="preserve"> A – Zachovanie súčasného stavu</w:t>
      </w:r>
    </w:p>
    <w:p w:rsidR="00000000" w:rsidRDefault="00501E77">
      <w:pPr>
        <w:pStyle w:val="Zkladntext"/>
      </w:pPr>
      <w:r>
        <w:t>Alternatíva B – Rozšírenie existujúceho vzdelávacieh</w:t>
      </w:r>
      <w:r>
        <w:t>o a certifikačného rámca </w:t>
      </w:r>
    </w:p>
    <w:p w:rsidR="00000000" w:rsidRDefault="00501E77">
      <w:pPr>
        <w:pStyle w:val="Normlnywebov"/>
      </w:pPr>
      <w:r>
        <w:t>Alternatíva C – Systém pre certifikáciu digitálnych kompetencií</w:t>
      </w:r>
    </w:p>
    <w:p w:rsidR="00000000" w:rsidRDefault="00501E77">
      <w:pPr>
        <w:pStyle w:val="Normlnywebov"/>
      </w:pPr>
      <w:r>
        <w:t>Alternatíva D – Systém pre rozvoj a certifikáciu digitálnych kompetencií</w:t>
      </w:r>
    </w:p>
    <w:p w:rsidR="00000000" w:rsidRDefault="00501E77">
      <w:pPr>
        <w:pStyle w:val="Zkladntext"/>
      </w:pPr>
      <w:r>
        <w:t>Alternatíva E -  Systém centrálnej certifikácie úrovní digitálnych kompetencií</w:t>
      </w:r>
    </w:p>
    <w:p w:rsidR="00000000" w:rsidRDefault="00501E77">
      <w:pPr>
        <w:pStyle w:val="Zkladntext"/>
      </w:pPr>
      <w:r>
        <w:t xml:space="preserve">Alternatíva F </w:t>
      </w:r>
      <w:r>
        <w:t>– Minimalistický variant systému centrálnej certifikácie úrovní digitálnych kompetencií</w:t>
      </w:r>
    </w:p>
    <w:p w:rsidR="00000000" w:rsidRDefault="00501E77">
      <w:pPr>
        <w:pStyle w:val="Nadpis3"/>
        <w:rPr>
          <w:rFonts w:eastAsia="Times New Roman"/>
        </w:rPr>
      </w:pPr>
      <w:r>
        <w:rPr>
          <w:rFonts w:eastAsia="Times New Roman"/>
        </w:rPr>
        <w:t>Alternatíva A – "Zachovanie súčasného stavu"</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tblGrid>
      <w:tr w:rsidR="00000000">
        <w:trPr>
          <w:divId w:val="3945782"/>
          <w:cantSplit/>
          <w:tblCellSpacing w:w="15" w:type="dxa"/>
        </w:trPr>
        <w:tc>
          <w:tcPr>
            <w:tcW w:w="0" w:type="auto"/>
            <w:vAlign w:val="center"/>
            <w:hideMark/>
          </w:tcPr>
          <w:p w:rsidR="00000000" w:rsidRDefault="00501E77">
            <w:pPr>
              <w:pStyle w:val="Normlnywebov"/>
            </w:pPr>
            <w:r>
              <w:rPr>
                <w:rStyle w:val="Siln"/>
              </w:rPr>
              <w:t>Súhrnný popis</w:t>
            </w:r>
          </w:p>
        </w:tc>
      </w:tr>
      <w:tr w:rsidR="00000000">
        <w:trPr>
          <w:divId w:val="3945782"/>
          <w:cantSplit/>
          <w:tblCellSpacing w:w="15" w:type="dxa"/>
        </w:trPr>
        <w:tc>
          <w:tcPr>
            <w:tcW w:w="0" w:type="auto"/>
            <w:vAlign w:val="center"/>
            <w:hideMark/>
          </w:tcPr>
          <w:p w:rsidR="00000000" w:rsidRDefault="00501E77">
            <w:pPr>
              <w:pStyle w:val="Normlnywebov"/>
            </w:pPr>
            <w:r>
              <w:rPr>
                <w:rStyle w:val="Zvraznenie"/>
              </w:rPr>
              <w:t>Úvodné informácie</w:t>
            </w:r>
            <w:r>
              <w:t xml:space="preserve"> </w:t>
            </w:r>
            <w:r>
              <w:br/>
            </w:r>
            <w:r>
              <w:rPr>
                <w:rStyle w:val="Zvraznenie"/>
              </w:rPr>
              <w:t>(Max. 800 znakov)</w:t>
            </w:r>
          </w:p>
          <w:p w:rsidR="00000000" w:rsidRDefault="00501E77">
            <w:pPr>
              <w:pStyle w:val="Normlnywebov"/>
            </w:pPr>
            <w:r>
              <w:t>Prvá alternatíva je orientovaná na zachovanie súčasného stavu, kedy sa štát spolieha na systém vzdelávania, už vybudované eLearning kurzy a na</w:t>
            </w:r>
            <w:r>
              <w:t xml:space="preserve"> </w:t>
            </w:r>
            <w:r>
              <w:rPr>
                <w:rStyle w:val="inline-comment-marker"/>
              </w:rPr>
              <w:t>väčšin</w:t>
            </w:r>
            <w:r>
              <w:rPr>
                <w:rStyle w:val="inline-comment-marker"/>
              </w:rPr>
              <w:t>u</w:t>
            </w:r>
            <w:r>
              <w:t xml:space="preserve"> certifikácií sa používajú tradičné mechanizmy vzdelávania (vysvedčenia) alebo komerčné aktivity (ECDL, ce</w:t>
            </w:r>
            <w:r>
              <w:t>rtifikáty IT firiem a podobne).</w:t>
            </w:r>
          </w:p>
        </w:tc>
      </w:tr>
      <w:tr w:rsidR="00000000">
        <w:trPr>
          <w:divId w:val="3945782"/>
          <w:cantSplit/>
          <w:tblCellSpacing w:w="15" w:type="dxa"/>
        </w:trPr>
        <w:tc>
          <w:tcPr>
            <w:tcW w:w="0" w:type="auto"/>
            <w:vAlign w:val="center"/>
            <w:hideMark/>
          </w:tcPr>
          <w:p w:rsidR="00000000" w:rsidRDefault="00501E77">
            <w:pPr>
              <w:pStyle w:val="Normlnywebov"/>
            </w:pPr>
            <w:r>
              <w:rPr>
                <w:rStyle w:val="Zvraznenie"/>
              </w:rPr>
              <w:t>Priestor pre sumárny obrázok / graf / diagram, nepovinná informácia.</w:t>
            </w:r>
          </w:p>
        </w:tc>
      </w:tr>
      <w:tr w:rsidR="00000000">
        <w:trPr>
          <w:divId w:val="3945782"/>
          <w:cantSplit/>
          <w:tblCellSpacing w:w="15" w:type="dxa"/>
        </w:trPr>
        <w:tc>
          <w:tcPr>
            <w:tcW w:w="0" w:type="auto"/>
            <w:vAlign w:val="center"/>
            <w:hideMark/>
          </w:tcPr>
          <w:p w:rsidR="00000000" w:rsidRDefault="00501E77">
            <w:pPr>
              <w:pStyle w:val="Normlnywebov"/>
            </w:pPr>
            <w:r>
              <w:rPr>
                <w:rStyle w:val="Zvraznenie"/>
              </w:rPr>
              <w:t>Ďalšie informácie</w:t>
            </w:r>
            <w:r>
              <w:t xml:space="preserve"> </w:t>
            </w:r>
            <w:r>
              <w:br/>
            </w:r>
            <w:r>
              <w:rPr>
                <w:rStyle w:val="Zvraznenie"/>
              </w:rPr>
              <w:t>(Max. 800 znakov)</w:t>
            </w:r>
          </w:p>
          <w:p w:rsidR="00000000" w:rsidRDefault="00501E77">
            <w:pPr>
              <w:pStyle w:val="Normlnywebov"/>
            </w:pPr>
            <w:r>
              <w:t>Za výhody takéhoto riešenia je možné považovať:</w:t>
            </w:r>
          </w:p>
          <w:p w:rsidR="00000000" w:rsidRDefault="00501E77">
            <w:pPr>
              <w:pStyle w:val="Normlnywebov"/>
            </w:pPr>
            <w:r>
              <w:sym w:font="Symbol" w:char="F0A7"/>
            </w:r>
            <w:r>
              <w:t xml:space="preserve"> nie je potrebná žiadna aktivita štátu,</w:t>
            </w:r>
          </w:p>
          <w:p w:rsidR="00000000" w:rsidRDefault="00501E77">
            <w:pPr>
              <w:pStyle w:val="Normlnywebov"/>
            </w:pPr>
            <w:r>
              <w:sym w:font="Symbol" w:char="F0A7"/>
            </w:r>
            <w:r>
              <w:t xml:space="preserve"> nie je potrebné budovať i</w:t>
            </w:r>
            <w:r>
              <w:t>nformačný systém.</w:t>
            </w:r>
          </w:p>
          <w:p w:rsidR="00000000" w:rsidRDefault="00501E77">
            <w:pPr>
              <w:pStyle w:val="Normlnywebov"/>
            </w:pPr>
            <w:r>
              <w:t>Za nevýhody takéhoto riešenia je možné považovať:</w:t>
            </w:r>
          </w:p>
          <w:p w:rsidR="00000000" w:rsidRDefault="00501E77">
            <w:pPr>
              <w:pStyle w:val="Normlnywebov"/>
            </w:pPr>
            <w:r>
              <w:sym w:font="Symbol" w:char="F0A7"/>
            </w:r>
            <w:r>
              <w:t xml:space="preserve"> </w:t>
            </w:r>
            <w:r>
              <w:rPr>
                <w:rStyle w:val="inline-comment-marker"/>
              </w:rPr>
              <w:t>neexistuje verifikácia kompetenčnej úrovne obyvateľstv</w:t>
            </w:r>
            <w:r>
              <w:rPr>
                <w:rStyle w:val="inline-comment-marker"/>
              </w:rPr>
              <w:t>a</w:t>
            </w:r>
            <w:r>
              <w:t>,</w:t>
            </w:r>
          </w:p>
          <w:p w:rsidR="00000000" w:rsidRDefault="00501E77">
            <w:pPr>
              <w:pStyle w:val="Normlnywebov"/>
            </w:pPr>
            <w:r>
              <w:sym w:font="Symbol" w:char="F0A7"/>
            </w:r>
            <w:r>
              <w:t xml:space="preserve"> nie je IKT nástrojmi podporovaný rast kompetenčnej dôveryhodne meranej úrovne obyvateľstva,</w:t>
            </w:r>
          </w:p>
          <w:p w:rsidR="00000000" w:rsidRDefault="00501E77">
            <w:pPr>
              <w:pStyle w:val="Normlnywebov"/>
            </w:pPr>
            <w:r>
              <w:sym w:font="Symbol" w:char="F0A7"/>
            </w:r>
            <w:r>
              <w:t xml:space="preserve"> neexistujú centrálne rámce pre me</w:t>
            </w:r>
            <w:r>
              <w:t>ranie a prípravu na zvyšovanie kompetenčnej úrovne,</w:t>
            </w:r>
          </w:p>
          <w:p w:rsidR="00000000" w:rsidRDefault="00501E77">
            <w:pPr>
              <w:pStyle w:val="Normlnywebov"/>
            </w:pPr>
            <w:r>
              <w:sym w:font="Symbol" w:char="F0A7"/>
            </w:r>
            <w:r>
              <w:t xml:space="preserve"> </w:t>
            </w:r>
            <w:r>
              <w:rPr>
                <w:rStyle w:val="inline-comment-marker"/>
              </w:rPr>
              <w:t>de-facto nie je možné hovoriť o kompetenciách (Akúkoľvek charakteristiku pojmu "kompetencie" zoberieme v úvahu, ani v jednom prípade nejde o súbor vedomostí a zručností tak, ako je charakterizovaná digi</w:t>
            </w:r>
            <w:r>
              <w:rPr>
                <w:rStyle w:val="inline-comment-marker"/>
              </w:rPr>
              <w:t xml:space="preserve">tálna gramotnosť, resp. kompetencie IKT, dnes vo všetkých dokumentoch a štandardoch na národnej a medzinárodnej úrovni. Z daného vyplýva, že v súčasnom stave, v alternatíve A nie je možné hovoriť o kompetenciách, pretože nie sú stanovené ani v oblasti IKT </w:t>
            </w:r>
            <w:r>
              <w:rPr>
                <w:rStyle w:val="inline-comment-marker"/>
              </w:rPr>
              <w:t>ani v oblasti informatiky. Dnes môžeme certifikovať vždy len uzavretý súbor vedomostí a zručností, potrebných pre vybranú oblasť IKT, resp. informatiky.</w:t>
            </w:r>
            <w:r>
              <w:rPr>
                <w:rStyle w:val="inline-comment-marker"/>
              </w:rPr>
              <w:t>)</w:t>
            </w:r>
            <w:r>
              <w:t>.</w:t>
            </w:r>
          </w:p>
        </w:tc>
      </w:tr>
      <w:tr w:rsidR="00000000">
        <w:trPr>
          <w:divId w:val="3945782"/>
          <w:cantSplit/>
          <w:tblCellSpacing w:w="15" w:type="dxa"/>
        </w:trPr>
        <w:tc>
          <w:tcPr>
            <w:tcW w:w="0" w:type="auto"/>
            <w:vAlign w:val="center"/>
            <w:hideMark/>
          </w:tcPr>
          <w:p w:rsidR="00000000" w:rsidRDefault="00501E77">
            <w:pPr>
              <w:pStyle w:val="Normlnywebov"/>
            </w:pPr>
            <w:r>
              <w:rPr>
                <w:rStyle w:val="Zvraznenie"/>
              </w:rPr>
              <w:t>Dôvod zamietnutia, alebo výberu riešenia (Max. 400 znakov)</w:t>
            </w:r>
          </w:p>
          <w:p w:rsidR="00000000" w:rsidRDefault="00501E77">
            <w:pPr>
              <w:pStyle w:val="Normlnywebov"/>
            </w:pPr>
            <w:r>
              <w:t>Na základe vyššie uvedených výhod a nevýh</w:t>
            </w:r>
            <w:r>
              <w:t>od alternatívy A „Zachovanie súčasného stavu“ navrhujeme ďalej nepostupovať touto alternatívou.</w:t>
            </w:r>
          </w:p>
        </w:tc>
      </w:tr>
    </w:tbl>
    <w:p w:rsidR="00000000" w:rsidRDefault="00501E77">
      <w:pPr>
        <w:pStyle w:val="Nadpis3"/>
        <w:rPr>
          <w:rFonts w:eastAsia="Times New Roman"/>
        </w:rPr>
      </w:pPr>
      <w:r>
        <w:rPr>
          <w:rFonts w:eastAsia="Times New Roman"/>
        </w:rPr>
        <w:t>Alternatíva B – „Rozšírenie existujúceho vzdelávacieho a certifikačného rámca"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tblGrid>
      <w:tr w:rsidR="00000000">
        <w:trPr>
          <w:divId w:val="239020649"/>
          <w:cantSplit/>
          <w:tblCellSpacing w:w="15" w:type="dxa"/>
        </w:trPr>
        <w:tc>
          <w:tcPr>
            <w:tcW w:w="0" w:type="auto"/>
            <w:vAlign w:val="center"/>
            <w:hideMark/>
          </w:tcPr>
          <w:p w:rsidR="00000000" w:rsidRDefault="00501E77">
            <w:pPr>
              <w:pStyle w:val="Normlnywebov"/>
            </w:pPr>
            <w:r>
              <w:rPr>
                <w:rStyle w:val="Siln"/>
              </w:rPr>
              <w:t>Súhrnný popis</w:t>
            </w:r>
          </w:p>
        </w:tc>
      </w:tr>
      <w:tr w:rsidR="00000000">
        <w:trPr>
          <w:divId w:val="239020649"/>
          <w:cantSplit/>
          <w:tblCellSpacing w:w="15" w:type="dxa"/>
        </w:trPr>
        <w:tc>
          <w:tcPr>
            <w:tcW w:w="0" w:type="auto"/>
            <w:vAlign w:val="center"/>
            <w:hideMark/>
          </w:tcPr>
          <w:p w:rsidR="00000000" w:rsidRDefault="00501E77">
            <w:pPr>
              <w:pStyle w:val="Normlnywebov"/>
            </w:pPr>
            <w:r>
              <w:rPr>
                <w:rStyle w:val="Zvraznenie"/>
              </w:rPr>
              <w:t>Úvodné informácie</w:t>
            </w:r>
            <w:r>
              <w:t xml:space="preserve"> </w:t>
            </w:r>
            <w:r>
              <w:br/>
            </w:r>
            <w:r>
              <w:rPr>
                <w:rStyle w:val="Zvraznenie"/>
              </w:rPr>
              <w:t>(Max. 800 znakov)</w:t>
            </w:r>
          </w:p>
          <w:p w:rsidR="00000000" w:rsidRDefault="00501E77">
            <w:pPr>
              <w:pStyle w:val="Normlnywebov"/>
            </w:pPr>
            <w:r>
              <w:t>Alternatíva B vychádza z využitia existujúcich mechanizmov vzdelávania a certifikácie (ECDL, maturity, štátnice, ...), avšak pri vypracovaní centrálnych metodík. Zároveň predpokladá vytvorenie centrálnej evidencie certifikátov, ich zdieľanie v zmysle princ</w:t>
            </w:r>
            <w:r>
              <w:t>ípu „Jedenkrát a dosť“.</w:t>
            </w:r>
            <w:r>
              <w:t xml:space="preserve"> </w:t>
            </w:r>
            <w:r>
              <w:rPr>
                <w:rStyle w:val="inline-comment-marker"/>
              </w:rPr>
              <w:t>Funkcionalita tejto alternatívy zahŕňa najmä:</w:t>
            </w:r>
            <w:r>
              <w:rPr>
                <w:rStyle w:val="inline-comment-marker"/>
              </w:rPr>
              <w:t xml:space="preserve"> </w:t>
            </w:r>
          </w:p>
          <w:p w:rsidR="00000000" w:rsidRDefault="00501E77">
            <w:pPr>
              <w:pStyle w:val="Normlnywebov"/>
            </w:pPr>
            <w:r>
              <w:rPr>
                <w:rStyle w:val="inline-comment-marker"/>
              </w:rPr>
              <w:t>• Register certifikátov</w:t>
            </w:r>
            <w:r>
              <w:rPr>
                <w:rStyle w:val="inline-comment-marker"/>
              </w:rPr>
              <w:t xml:space="preserve"> </w:t>
            </w:r>
          </w:p>
          <w:p w:rsidR="00000000" w:rsidRDefault="00501E77">
            <w:pPr>
              <w:pStyle w:val="Normlnywebov"/>
            </w:pPr>
            <w:r>
              <w:rPr>
                <w:rStyle w:val="inline-comment-marker"/>
              </w:rPr>
              <w:t>• Návody na vytvorenie testov</w:t>
            </w:r>
            <w:r>
              <w:rPr>
                <w:rStyle w:val="inline-comment-marker"/>
              </w:rPr>
              <w:t xml:space="preserve"> </w:t>
            </w:r>
          </w:p>
          <w:p w:rsidR="00000000" w:rsidRDefault="00501E77">
            <w:pPr>
              <w:numPr>
                <w:ilvl w:val="0"/>
                <w:numId w:val="23"/>
              </w:numPr>
              <w:spacing w:before="100" w:beforeAutospacing="1" w:after="100" w:afterAutospacing="1"/>
              <w:rPr>
                <w:rFonts w:eastAsia="Times New Roman"/>
              </w:rPr>
            </w:pPr>
            <w:r>
              <w:rPr>
                <w:rStyle w:val="inline-comment-marker"/>
                <w:rFonts w:eastAsia="Times New Roman"/>
              </w:rPr>
              <w:t> </w:t>
            </w:r>
            <w:r>
              <w:rPr>
                <w:rFonts w:eastAsia="Times New Roman"/>
              </w:rPr>
              <w:t>tiež umožňuje poskytovať analytické dáta a údaje pre metodické riadenie digitálnych kompetencií</w:t>
            </w:r>
          </w:p>
          <w:p w:rsidR="00000000" w:rsidRDefault="00501E77">
            <w:pPr>
              <w:numPr>
                <w:ilvl w:val="0"/>
                <w:numId w:val="23"/>
              </w:numPr>
              <w:spacing w:before="100" w:beforeAutospacing="1" w:after="100" w:afterAutospacing="1"/>
              <w:rPr>
                <w:rFonts w:eastAsia="Times New Roman"/>
              </w:rPr>
            </w:pPr>
            <w:r>
              <w:rPr>
                <w:rFonts w:eastAsia="Times New Roman"/>
              </w:rPr>
              <w:t xml:space="preserve">a taktiež využitie existujúcich </w:t>
            </w:r>
            <w:r>
              <w:rPr>
                <w:rFonts w:eastAsia="Times New Roman"/>
              </w:rPr>
              <w:t>certifikačných a vzdelávacích postupov.</w:t>
            </w:r>
          </w:p>
          <w:p w:rsidR="00000000" w:rsidRDefault="00501E77">
            <w:pPr>
              <w:divId w:val="1746877615"/>
              <w:rPr>
                <w:rFonts w:eastAsia="Times New Roman"/>
              </w:rPr>
            </w:pPr>
          </w:p>
        </w:tc>
      </w:tr>
      <w:tr w:rsidR="00000000">
        <w:trPr>
          <w:divId w:val="239020649"/>
          <w:cantSplit/>
          <w:tblCellSpacing w:w="15" w:type="dxa"/>
        </w:trPr>
        <w:tc>
          <w:tcPr>
            <w:tcW w:w="0" w:type="auto"/>
            <w:vAlign w:val="center"/>
            <w:hideMark/>
          </w:tcPr>
          <w:p w:rsidR="00000000" w:rsidRDefault="00501E77">
            <w:pPr>
              <w:pStyle w:val="Normlnywebov"/>
            </w:pPr>
            <w:r>
              <w:rPr>
                <w:rStyle w:val="Zvraznenie"/>
              </w:rPr>
              <w:t>Priestor pre sumárny obrázok / graf / diagram, nepovinná informácia.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856575069"/>
                <w:tblCellSpacing w:w="15" w:type="dxa"/>
              </w:trPr>
              <w:tc>
                <w:tcPr>
                  <w:tcW w:w="0" w:type="auto"/>
                  <w:vAlign w:val="center"/>
                  <w:hideMark/>
                </w:tcPr>
                <w:p w:rsidR="00000000" w:rsidRDefault="00501E77">
                  <w:pPr>
                    <w:pStyle w:val="Normlnywebov"/>
                    <w:jc w:val="center"/>
                    <w:rPr>
                      <w:b/>
                      <w:bCs/>
                    </w:rPr>
                  </w:pPr>
                  <w:r>
                    <w:rPr>
                      <w:rStyle w:val="Zvraznenie"/>
                      <w:b/>
                      <w:bCs/>
                    </w:rPr>
                    <w:t>Popis funkčnosti</w:t>
                  </w:r>
                </w:p>
              </w:tc>
              <w:tc>
                <w:tcPr>
                  <w:tcW w:w="0" w:type="auto"/>
                  <w:vAlign w:val="center"/>
                  <w:hideMark/>
                </w:tcPr>
                <w:p w:rsidR="00000000" w:rsidRDefault="00501E77">
                  <w:pPr>
                    <w:pStyle w:val="Normlnywebov"/>
                    <w:jc w:val="center"/>
                    <w:rPr>
                      <w:b/>
                      <w:bCs/>
                    </w:rPr>
                  </w:pPr>
                  <w:r>
                    <w:rPr>
                      <w:rStyle w:val="Zvraznenie"/>
                      <w:b/>
                      <w:bCs/>
                    </w:rPr>
                    <w:t>Alternatíva B</w:t>
                  </w:r>
                </w:p>
              </w:tc>
            </w:tr>
            <w:tr w:rsidR="00000000">
              <w:trPr>
                <w:divId w:val="856575069"/>
                <w:cantSplit/>
                <w:tblCellSpacing w:w="15" w:type="dxa"/>
              </w:trPr>
              <w:tc>
                <w:tcPr>
                  <w:tcW w:w="0" w:type="auto"/>
                  <w:vAlign w:val="center"/>
                  <w:hideMark/>
                </w:tcPr>
                <w:p w:rsidR="00000000" w:rsidRDefault="00501E77">
                  <w:pPr>
                    <w:pStyle w:val="Normlnywebov"/>
                  </w:pPr>
                  <w:r>
                    <w:t>eLearning</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MOOC</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Návody na prípravu školení</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Návody na online kurzy</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Návody na vytvorenie testov</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Selftesting (Nezáväzný test pre samoohodnotenie)</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Rozvojové plány a sprievodca prípravou</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Správne poplatky za certifikácie</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Event manažment</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Videonávody a interaktívne nástroje prípravy</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Existujúce certifikačné mechanizmy</w:t>
                  </w:r>
                </w:p>
              </w:tc>
              <w:tc>
                <w:tcPr>
                  <w:tcW w:w="0" w:type="auto"/>
                  <w:vAlign w:val="center"/>
                  <w:hideMark/>
                </w:tcPr>
                <w:p w:rsidR="00000000" w:rsidRDefault="00501E77">
                  <w:pPr>
                    <w:pStyle w:val="Normlnywebov"/>
                    <w:jc w:val="center"/>
                  </w:pPr>
                  <w:r>
                    <w:t>C</w:t>
                  </w:r>
                </w:p>
              </w:tc>
            </w:tr>
            <w:tr w:rsidR="00000000">
              <w:trPr>
                <w:divId w:val="856575069"/>
                <w:cantSplit/>
                <w:tblCellSpacing w:w="15" w:type="dxa"/>
              </w:trPr>
              <w:tc>
                <w:tcPr>
                  <w:tcW w:w="0" w:type="auto"/>
                  <w:vAlign w:val="center"/>
                  <w:hideMark/>
                </w:tcPr>
                <w:p w:rsidR="00000000" w:rsidRDefault="00501E77">
                  <w:pPr>
                    <w:pStyle w:val="Normlnywebov"/>
                  </w:pPr>
                  <w:r>
                    <w:t>Register certifikátov</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Certifikačné testy</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Automatické vydávanie certifikátov</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Doručovanie elektronických verzií certifikátov</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Používanie elektronických certifikátov v zmysle Jedenkrát a dosť, Moje data a Otvorené údaje</w:t>
                  </w:r>
                </w:p>
              </w:tc>
              <w:tc>
                <w:tcPr>
                  <w:tcW w:w="0" w:type="auto"/>
                  <w:vAlign w:val="center"/>
                  <w:hideMark/>
                </w:tcPr>
                <w:p w:rsidR="00000000" w:rsidRDefault="00501E77">
                  <w:pPr>
                    <w:pStyle w:val="Normlnywebov"/>
                    <w:jc w:val="center"/>
                  </w:pPr>
                  <w:r>
                    <w:t>+</w:t>
                  </w:r>
                </w:p>
              </w:tc>
            </w:tr>
            <w:tr w:rsidR="00000000">
              <w:trPr>
                <w:divId w:val="856575069"/>
                <w:cantSplit/>
                <w:tblCellSpacing w:w="15" w:type="dxa"/>
              </w:trPr>
              <w:tc>
                <w:tcPr>
                  <w:tcW w:w="0" w:type="auto"/>
                  <w:vAlign w:val="center"/>
                  <w:hideMark/>
                </w:tcPr>
                <w:p w:rsidR="00000000" w:rsidRDefault="00501E77">
                  <w:pPr>
                    <w:pStyle w:val="Normlnywebov"/>
                  </w:pPr>
                  <w:r>
                    <w:t>Analytické dáta a údaje</w:t>
                  </w:r>
                </w:p>
              </w:tc>
              <w:tc>
                <w:tcPr>
                  <w:tcW w:w="0" w:type="auto"/>
                  <w:vAlign w:val="center"/>
                  <w:hideMark/>
                </w:tcPr>
                <w:p w:rsidR="00000000" w:rsidRDefault="00501E77">
                  <w:pPr>
                    <w:pStyle w:val="Normlnywebov"/>
                    <w:jc w:val="center"/>
                  </w:pPr>
                  <w:r>
                    <w:t>C</w:t>
                  </w:r>
                </w:p>
              </w:tc>
            </w:tr>
            <w:tr w:rsidR="00000000">
              <w:trPr>
                <w:divId w:val="856575069"/>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856575069"/>
                <w:cantSplit/>
                <w:tblCellSpacing w:w="15" w:type="dxa"/>
              </w:trPr>
              <w:tc>
                <w:tcPr>
                  <w:tcW w:w="0" w:type="auto"/>
                  <w:vAlign w:val="center"/>
                  <w:hideMark/>
                </w:tcPr>
                <w:p w:rsidR="00000000" w:rsidRDefault="00501E77">
                  <w:pPr>
                    <w:pStyle w:val="Normlnywebov"/>
                  </w:pPr>
                  <w:r>
                    <w:t>Príklad z exis</w:t>
                  </w:r>
                  <w:r>
                    <w:t>tujúcich certifikátov a oprávnení (bez funkcionality centrálneho registra)</w:t>
                  </w:r>
                </w:p>
              </w:tc>
              <w:tc>
                <w:tcPr>
                  <w:tcW w:w="0" w:type="auto"/>
                  <w:vAlign w:val="center"/>
                  <w:hideMark/>
                </w:tcPr>
                <w:p w:rsidR="00000000" w:rsidRDefault="00501E77">
                  <w:pPr>
                    <w:pStyle w:val="Normlnywebov"/>
                    <w:jc w:val="center"/>
                  </w:pPr>
                  <w:r>
                    <w:t>Prince2</w:t>
                  </w:r>
                </w:p>
              </w:tc>
            </w:tr>
            <w:tr w:rsidR="00000000">
              <w:trPr>
                <w:divId w:val="856575069"/>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856575069"/>
                <w:cantSplit/>
                <w:tblCellSpacing w:w="15" w:type="dxa"/>
              </w:trPr>
              <w:tc>
                <w:tcPr>
                  <w:tcW w:w="0" w:type="auto"/>
                  <w:vAlign w:val="center"/>
                  <w:hideMark/>
                </w:tcPr>
                <w:p w:rsidR="00000000" w:rsidRDefault="00501E77">
                  <w:pPr>
                    <w:pStyle w:val="Normlnywebov"/>
                  </w:pPr>
                  <w:r>
                    <w:t>C - čiastočne</w:t>
                  </w:r>
                </w:p>
              </w:tc>
              <w:tc>
                <w:tcPr>
                  <w:tcW w:w="0" w:type="auto"/>
                  <w:vAlign w:val="center"/>
                  <w:hideMark/>
                </w:tcPr>
                <w:p w:rsidR="00000000" w:rsidRDefault="00501E77">
                  <w:pPr>
                    <w:rPr>
                      <w:rFonts w:eastAsia="Times New Roman"/>
                    </w:rPr>
                  </w:pPr>
                  <w:r>
                    <w:rPr>
                      <w:rFonts w:eastAsia="Times New Roman"/>
                    </w:rPr>
                    <w:t> </w:t>
                  </w:r>
                </w:p>
              </w:tc>
            </w:tr>
          </w:tbl>
          <w:p w:rsidR="00000000" w:rsidRDefault="00501E77">
            <w:pPr>
              <w:pStyle w:val="Normlnywebov"/>
            </w:pPr>
          </w:p>
        </w:tc>
      </w:tr>
      <w:tr w:rsidR="00000000">
        <w:trPr>
          <w:divId w:val="239020649"/>
          <w:cantSplit/>
          <w:tblCellSpacing w:w="15" w:type="dxa"/>
        </w:trPr>
        <w:tc>
          <w:tcPr>
            <w:tcW w:w="0" w:type="auto"/>
            <w:vAlign w:val="center"/>
            <w:hideMark/>
          </w:tcPr>
          <w:p w:rsidR="00000000" w:rsidRDefault="00501E77">
            <w:pPr>
              <w:pStyle w:val="Normlnywebov"/>
            </w:pPr>
            <w:r>
              <w:rPr>
                <w:rStyle w:val="Zvraznenie"/>
              </w:rPr>
              <w:t>Ďalšie informácie</w:t>
            </w:r>
            <w:r>
              <w:t xml:space="preserve"> </w:t>
            </w:r>
            <w:r>
              <w:br/>
            </w:r>
            <w:r>
              <w:rPr>
                <w:rStyle w:val="Zvraznenie"/>
              </w:rPr>
              <w:t>(Max. 800 znakov)</w:t>
            </w:r>
          </w:p>
          <w:p w:rsidR="00000000" w:rsidRDefault="00501E77">
            <w:pPr>
              <w:pStyle w:val="Normlnywebov"/>
            </w:pPr>
            <w:r>
              <w:t xml:space="preserve">Za výhody takéhoto riešenia je možné považovať: </w:t>
            </w:r>
            <w:r>
              <w:sym w:font="Symbol" w:char="F0A7"/>
            </w:r>
            <w:r>
              <w:t xml:space="preserve"> minimalizácia nákladov na tvorbu vzdelávacieho obsahu a testovania, </w:t>
            </w:r>
            <w:r>
              <w:sym w:font="Symbol" w:char="F0A7"/>
            </w:r>
            <w:r>
              <w:t xml:space="preserve"> centrálnu evidenciu certifikátov </w:t>
            </w:r>
            <w:r>
              <w:sym w:font="Symbol" w:char="F0A7"/>
            </w:r>
            <w:r>
              <w:t xml:space="preserve"> sprístupňovanie certifikátov v zmysle „Jedenkrát a dosť“ a „Moje dáta“ Za nevýhody takéhoto riešenia je možné považovať: </w:t>
            </w:r>
            <w:r>
              <w:sym w:font="Symbol" w:char="F0A7"/>
            </w:r>
            <w:r>
              <w:t xml:space="preserve"> úplná závislosť na tretích </w:t>
            </w:r>
            <w:r>
              <w:t xml:space="preserve">stranách </w:t>
            </w:r>
            <w:r>
              <w:sym w:font="Symbol" w:char="F0A7"/>
            </w:r>
            <w:r>
              <w:t xml:space="preserve"> možné spochybnenie kvality vydaných certifikátov z dôvodu spochybnenia kvality vytvoreného obsahu tretími stranami, </w:t>
            </w:r>
            <w:r>
              <w:sym w:font="Symbol" w:char="F0A7"/>
            </w:r>
            <w:r>
              <w:t xml:space="preserve"> financovanie úvodnej investície zo štátneho rozpočtu.</w:t>
            </w:r>
          </w:p>
          <w:p w:rsidR="00000000" w:rsidRDefault="00501E77">
            <w:pPr>
              <w:divId w:val="576718072"/>
              <w:rPr>
                <w:rFonts w:eastAsia="Times New Roman"/>
              </w:rPr>
            </w:pPr>
          </w:p>
        </w:tc>
      </w:tr>
      <w:tr w:rsidR="00000000">
        <w:trPr>
          <w:divId w:val="239020649"/>
          <w:cantSplit/>
          <w:tblCellSpacing w:w="15" w:type="dxa"/>
        </w:trPr>
        <w:tc>
          <w:tcPr>
            <w:tcW w:w="0" w:type="auto"/>
            <w:vAlign w:val="center"/>
            <w:hideMark/>
          </w:tcPr>
          <w:p w:rsidR="00000000" w:rsidRDefault="00501E77">
            <w:pPr>
              <w:pStyle w:val="Normlnywebov"/>
            </w:pPr>
            <w:r>
              <w:rPr>
                <w:rStyle w:val="Zvraznenie"/>
              </w:rPr>
              <w:t>Dôvod zamietnutia, alebo výberu riešenia (Max. 400 znakov)</w:t>
            </w:r>
          </w:p>
          <w:p w:rsidR="00000000" w:rsidRDefault="00501E77">
            <w:pPr>
              <w:pStyle w:val="Normlnywebov"/>
            </w:pPr>
            <w:r>
              <w:t xml:space="preserve">Na základe </w:t>
            </w:r>
            <w:r>
              <w:t>vyššie uvedených výhod a nevýhod alternatívy B - „Rozšírenie existujúceho vzdelávacieho a certifikačného rámca“ navrhujeme nepostupovať touto alternatívou.</w:t>
            </w:r>
          </w:p>
        </w:tc>
      </w:tr>
    </w:tbl>
    <w:p w:rsidR="00000000" w:rsidRDefault="00501E77">
      <w:pPr>
        <w:pStyle w:val="Nadpis3"/>
        <w:rPr>
          <w:rFonts w:eastAsia="Times New Roman"/>
        </w:rPr>
      </w:pPr>
      <w:r>
        <w:rPr>
          <w:rFonts w:eastAsia="Times New Roman"/>
        </w:rPr>
        <w:br/>
        <w:t>Alternatíva C – „Systém pre certifikáciu digitálnych kompetencií"</w:t>
      </w:r>
    </w:p>
    <w:tbl>
      <w:tblPr>
        <w:tblW w:w="21600" w:type="dxa"/>
        <w:tblCellSpacing w:w="15" w:type="dxa"/>
        <w:tblCellMar>
          <w:top w:w="15" w:type="dxa"/>
          <w:left w:w="15" w:type="dxa"/>
          <w:bottom w:w="15" w:type="dxa"/>
          <w:right w:w="15" w:type="dxa"/>
        </w:tblCellMar>
        <w:tblLook w:val="04A0" w:firstRow="1" w:lastRow="0" w:firstColumn="1" w:lastColumn="0" w:noHBand="0" w:noVBand="1"/>
      </w:tblPr>
      <w:tblGrid>
        <w:gridCol w:w="480"/>
      </w:tblGrid>
      <w:tr w:rsidR="00000000">
        <w:trPr>
          <w:divId w:val="189495883"/>
          <w:cantSplit/>
          <w:tblCellSpacing w:w="15" w:type="dxa"/>
        </w:trPr>
        <w:tc>
          <w:tcPr>
            <w:tcW w:w="0" w:type="auto"/>
            <w:vAlign w:val="center"/>
            <w:hideMark/>
          </w:tcPr>
          <w:p w:rsidR="00000000" w:rsidRDefault="00501E77">
            <w:pPr>
              <w:pStyle w:val="Normlnywebov"/>
            </w:pPr>
            <w:r>
              <w:rPr>
                <w:rStyle w:val="Siln"/>
              </w:rPr>
              <w:t>Súhrnný popis</w:t>
            </w:r>
          </w:p>
        </w:tc>
      </w:tr>
      <w:tr w:rsidR="00000000">
        <w:trPr>
          <w:divId w:val="189495883"/>
          <w:cantSplit/>
          <w:tblCellSpacing w:w="15" w:type="dxa"/>
        </w:trPr>
        <w:tc>
          <w:tcPr>
            <w:tcW w:w="0" w:type="auto"/>
            <w:vAlign w:val="center"/>
            <w:hideMark/>
          </w:tcPr>
          <w:p w:rsidR="00000000" w:rsidRDefault="00501E77">
            <w:pPr>
              <w:pStyle w:val="Normlnywebov"/>
            </w:pPr>
            <w:r>
              <w:rPr>
                <w:rStyle w:val="Zvraznenie"/>
              </w:rPr>
              <w:t>Úvodné informáci</w:t>
            </w:r>
            <w:r>
              <w:rPr>
                <w:rStyle w:val="Zvraznenie"/>
              </w:rPr>
              <w:t>e</w:t>
            </w:r>
            <w:r>
              <w:t xml:space="preserve"> </w:t>
            </w:r>
            <w:r>
              <w:br/>
            </w:r>
            <w:r>
              <w:rPr>
                <w:rStyle w:val="Zvraznenie"/>
              </w:rPr>
              <w:t>(Max. 800 znakov)</w:t>
            </w:r>
          </w:p>
          <w:p w:rsidR="00000000" w:rsidRDefault="00501E77">
            <w:pPr>
              <w:pStyle w:val="Normlnywebov"/>
            </w:pPr>
            <w:r>
              <w:t>Alternatíva C navrhuje vybudovanie komplexného centrálneho informačného systému, ktorý komplexne zastreší oblasť testovania a následného vydávania certifikátov a</w:t>
            </w:r>
            <w:r>
              <w:t xml:space="preserve"> </w:t>
            </w:r>
            <w:r>
              <w:rPr>
                <w:rStyle w:val="inline-comment-marker"/>
              </w:rPr>
              <w:t>diplomov</w:t>
            </w:r>
            <w:r>
              <w:rPr>
                <w:rStyle w:val="inline-comment-marker"/>
              </w:rPr>
              <w:t>.</w:t>
            </w:r>
            <w:r>
              <w:t xml:space="preserve"> </w:t>
            </w:r>
            <w:r>
              <w:t>Táto alternatíva nepredpokladá vytvorenie centrálneho systému pre prípravu na certifikácie (zvyšovanie úrovne kompetencií),  ale iba návody na tvorbu takýchto systémov tretími stranami. Alternatíva zároveň predpokladá aj vytvorenie on-line testov pre právn</w:t>
            </w:r>
            <w:r>
              <w:t>e nezáväzné samotestovanie úrovne digitálnych kompetencií. Tak ako alternatíva B aj alternatíva C predpokladá vytvorenie centrálnej evidencie certifikátov, ich zdieľanie v zmysle princípu „Jedenkrát a dosť“.</w:t>
            </w:r>
          </w:p>
          <w:p w:rsidR="00000000" w:rsidRDefault="00501E77">
            <w:pPr>
              <w:pStyle w:val="Normlnywebov"/>
            </w:pPr>
            <w:r>
              <w:t>Funkcionalita tejto alternatívy zahŕňa najmä:</w:t>
            </w:r>
          </w:p>
          <w:p w:rsidR="00000000" w:rsidRDefault="00501E77">
            <w:pPr>
              <w:pStyle w:val="Normlnywebov"/>
            </w:pPr>
            <w:r>
              <w:t xml:space="preserve">• </w:t>
            </w:r>
            <w:r>
              <w:t>Návody na vytvorenie on-line školení a prípravu kurzov</w:t>
            </w:r>
          </w:p>
          <w:p w:rsidR="00000000" w:rsidRDefault="00501E77">
            <w:pPr>
              <w:pStyle w:val="Normlnywebov"/>
            </w:pPr>
            <w:r>
              <w:t>• Hodnotiace testy</w:t>
            </w:r>
          </w:p>
          <w:p w:rsidR="00000000" w:rsidRDefault="00501E77">
            <w:pPr>
              <w:pStyle w:val="Normlnywebov"/>
            </w:pPr>
            <w:r>
              <w:t>• Riadenie procesov certifikácie vrátane kontroly úhrady prípadných poplatkov za certifikáciu</w:t>
            </w:r>
          </w:p>
          <w:p w:rsidR="00000000" w:rsidRDefault="00501E77">
            <w:pPr>
              <w:pStyle w:val="Normlnywebov"/>
            </w:pPr>
            <w:r>
              <w:t>• Register certifikátov</w:t>
            </w:r>
          </w:p>
          <w:p w:rsidR="00000000" w:rsidRDefault="00501E77">
            <w:pPr>
              <w:pStyle w:val="Normlnywebov"/>
            </w:pPr>
            <w:r>
              <w:t>• Automatické vydávanie certifikátov</w:t>
            </w:r>
          </w:p>
          <w:p w:rsidR="00000000" w:rsidRDefault="00501E77">
            <w:pPr>
              <w:pStyle w:val="Normlnywebov"/>
            </w:pPr>
            <w:r>
              <w:t>• Doručovanie elektronickýc</w:t>
            </w:r>
            <w:r>
              <w:t>h verzií certifikátov</w:t>
            </w:r>
          </w:p>
          <w:p w:rsidR="00000000" w:rsidRDefault="00501E77">
            <w:pPr>
              <w:pStyle w:val="Normlnywebov"/>
            </w:pPr>
            <w:r>
              <w:t>• Používanie elektronických certifikátov v zmysle Jedenkrát a dosť, Moje data a Otvorené údaje</w:t>
            </w:r>
          </w:p>
          <w:p w:rsidR="00000000" w:rsidRDefault="00501E77">
            <w:pPr>
              <w:pStyle w:val="Normlnywebov"/>
            </w:pPr>
            <w:r>
              <w:t>• Poskytovanie dát a údajov pre potreby nastavovania regulačného a metodického rámca digitálnych kompetencií</w:t>
            </w:r>
          </w:p>
          <w:p w:rsidR="00000000" w:rsidRDefault="00501E77">
            <w:pPr>
              <w:divId w:val="15280151"/>
              <w:rPr>
                <w:rFonts w:eastAsia="Times New Roman"/>
              </w:rPr>
            </w:pPr>
          </w:p>
        </w:tc>
      </w:tr>
      <w:tr w:rsidR="00000000">
        <w:trPr>
          <w:divId w:val="189495883"/>
          <w:cantSplit/>
          <w:tblCellSpacing w:w="15" w:type="dxa"/>
        </w:trPr>
        <w:tc>
          <w:tcPr>
            <w:tcW w:w="0" w:type="auto"/>
            <w:vAlign w:val="center"/>
            <w:hideMark/>
          </w:tcPr>
          <w:p w:rsidR="00000000" w:rsidRDefault="00501E77">
            <w:pPr>
              <w:pStyle w:val="Normlnywebov"/>
            </w:pPr>
            <w:r>
              <w:rPr>
                <w:rStyle w:val="Zvraznenie"/>
              </w:rPr>
              <w:t>Priestor pre sumárny obrázok / graf / diagram, nepovinná informácia.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018972995"/>
                <w:tblCellSpacing w:w="15" w:type="dxa"/>
              </w:trPr>
              <w:tc>
                <w:tcPr>
                  <w:tcW w:w="0" w:type="auto"/>
                  <w:vAlign w:val="center"/>
                  <w:hideMark/>
                </w:tcPr>
                <w:p w:rsidR="00000000" w:rsidRDefault="00501E77">
                  <w:pPr>
                    <w:jc w:val="center"/>
                    <w:rPr>
                      <w:rFonts w:eastAsia="Times New Roman"/>
                      <w:b/>
                      <w:bCs/>
                    </w:rPr>
                  </w:pPr>
                  <w:r>
                    <w:rPr>
                      <w:rFonts w:eastAsia="Times New Roman"/>
                      <w:b/>
                      <w:bCs/>
                    </w:rPr>
                    <w:t>Popis funkčnosti</w:t>
                  </w:r>
                </w:p>
              </w:tc>
              <w:tc>
                <w:tcPr>
                  <w:tcW w:w="0" w:type="auto"/>
                  <w:vAlign w:val="center"/>
                  <w:hideMark/>
                </w:tcPr>
                <w:p w:rsidR="00000000" w:rsidRDefault="00501E77">
                  <w:pPr>
                    <w:jc w:val="center"/>
                    <w:rPr>
                      <w:rFonts w:eastAsia="Times New Roman"/>
                      <w:b/>
                      <w:bCs/>
                    </w:rPr>
                  </w:pPr>
                  <w:r>
                    <w:rPr>
                      <w:rFonts w:eastAsia="Times New Roman"/>
                      <w:b/>
                      <w:bCs/>
                    </w:rPr>
                    <w:t>Alternatíva C</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eLearning</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MOOC</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Návody na prípravu školení</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Návody na online kurzy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Návody na vytvorenie testov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pStyle w:val="Normlnywebov"/>
                  </w:pPr>
                  <w:r>
                    <w:t>Selftesting (Nezáväzný test pre samoohodnotenie)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Rozvojové plány a sprievodca prípravou</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Správne poplatky za certifikácie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Event manažment</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Videonávody a interaktívne nástroje prípravy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Existujúce certifikačné mechanizmy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Register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Certifikačné testy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Automatické vydávanie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Doručovanie elektronických verzií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Používanie elektronických certifikátov v zmysle Jedenkrát a dosť, Moje data a Otvorené údaje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Analytické dáta a údaje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Príklad z existujúcich certifikátov a oprávnení (bez funkcionality centrálneho registra)</w:t>
                  </w:r>
                </w:p>
              </w:tc>
              <w:tc>
                <w:tcPr>
                  <w:tcW w:w="0" w:type="auto"/>
                  <w:vAlign w:val="center"/>
                  <w:hideMark/>
                </w:tcPr>
                <w:p w:rsidR="00000000" w:rsidRDefault="00501E77">
                  <w:pPr>
                    <w:rPr>
                      <w:rFonts w:eastAsia="Times New Roman"/>
                    </w:rPr>
                  </w:pPr>
                  <w:r>
                    <w:rPr>
                      <w:rFonts w:eastAsia="Times New Roman"/>
                    </w:rPr>
                    <w:t>Vodičské oprávnenie</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1018972995"/>
                <w:cantSplit/>
                <w:tblCellSpacing w:w="15" w:type="dxa"/>
              </w:trPr>
              <w:tc>
                <w:tcPr>
                  <w:tcW w:w="0" w:type="auto"/>
                  <w:vAlign w:val="center"/>
                  <w:hideMark/>
                </w:tcPr>
                <w:p w:rsidR="00000000" w:rsidRDefault="00501E77">
                  <w:pPr>
                    <w:rPr>
                      <w:rFonts w:eastAsia="Times New Roman"/>
                    </w:rPr>
                  </w:pPr>
                  <w:r>
                    <w:rPr>
                      <w:rFonts w:eastAsia="Times New Roman"/>
                    </w:rPr>
                    <w:t>C - čiastočne</w:t>
                  </w:r>
                </w:p>
              </w:tc>
              <w:tc>
                <w:tcPr>
                  <w:tcW w:w="0" w:type="auto"/>
                  <w:vAlign w:val="center"/>
                  <w:hideMark/>
                </w:tcPr>
                <w:p w:rsidR="00000000" w:rsidRDefault="00501E77">
                  <w:pPr>
                    <w:rPr>
                      <w:rFonts w:eastAsia="Times New Roman"/>
                    </w:rPr>
                  </w:pPr>
                  <w:r>
                    <w:rPr>
                      <w:rFonts w:eastAsia="Times New Roman"/>
                    </w:rPr>
                    <w:t> </w:t>
                  </w:r>
                </w:p>
              </w:tc>
            </w:tr>
          </w:tbl>
          <w:p w:rsidR="00000000" w:rsidRDefault="00501E77">
            <w:pPr>
              <w:pStyle w:val="Normlnywebov"/>
            </w:pPr>
          </w:p>
        </w:tc>
      </w:tr>
      <w:tr w:rsidR="00000000">
        <w:trPr>
          <w:divId w:val="189495883"/>
          <w:cantSplit/>
          <w:tblCellSpacing w:w="15" w:type="dxa"/>
        </w:trPr>
        <w:tc>
          <w:tcPr>
            <w:tcW w:w="0" w:type="auto"/>
            <w:vAlign w:val="center"/>
            <w:hideMark/>
          </w:tcPr>
          <w:p w:rsidR="00000000" w:rsidRDefault="00501E77">
            <w:pPr>
              <w:pStyle w:val="Normlnywebov"/>
            </w:pPr>
            <w:r>
              <w:rPr>
                <w:rStyle w:val="Zvraznenie"/>
              </w:rPr>
              <w:t>Ďalšie informácie</w:t>
            </w:r>
            <w:r>
              <w:t xml:space="preserve"> </w:t>
            </w:r>
            <w:r>
              <w:br/>
            </w:r>
            <w:r>
              <w:rPr>
                <w:rStyle w:val="Zvraznenie"/>
              </w:rPr>
              <w:t>(Max. 800 znakov)</w:t>
            </w:r>
          </w:p>
          <w:p w:rsidR="00000000" w:rsidRDefault="00501E77">
            <w:pPr>
              <w:pStyle w:val="Normlnywebov"/>
            </w:pPr>
            <w:r>
              <w:t xml:space="preserve">Za výhody takéhoto riešenia je možné považovať: </w:t>
            </w:r>
            <w:r>
              <w:sym w:font="Symbol" w:char="F0A7"/>
            </w:r>
            <w:r>
              <w:t xml:space="preserve"> minimalizácia nákladov na tvorbu v</w:t>
            </w:r>
            <w:r>
              <w:t xml:space="preserve">zdelávacieho obsahu, </w:t>
            </w:r>
            <w:r>
              <w:sym w:font="Symbol" w:char="F0A7"/>
            </w:r>
            <w:r>
              <w:t xml:space="preserve"> centrálnu evidenciu certifikátov </w:t>
            </w:r>
            <w:r>
              <w:sym w:font="Symbol" w:char="F0A7"/>
            </w:r>
            <w:r>
              <w:t xml:space="preserve"> sprístupňovanie certifikátov v zmysle „Jedenkrát a dosť“ a „Moje dáta“ </w:t>
            </w:r>
            <w:r>
              <w:sym w:font="Symbol" w:char="F0A7"/>
            </w:r>
            <w:r>
              <w:t xml:space="preserve"> centrálny manažment kvality procesu certifikácie </w:t>
            </w:r>
            <w:r>
              <w:sym w:font="Symbol" w:char="F0A7"/>
            </w:r>
            <w:r>
              <w:t xml:space="preserve"> minimalizáciu subjektívneho vplyvu na certifikáciu vďaka centrálnemu dohľa</w:t>
            </w:r>
            <w:r>
              <w:t xml:space="preserve">du a automatizovaným nástrojom pre väčšinu testov Za nevýhody takéhoto riešenia je možné považovať: </w:t>
            </w:r>
            <w:r>
              <w:sym w:font="Symbol" w:char="F0A7"/>
            </w:r>
            <w:r>
              <w:t xml:space="preserve"> závislosť prípravy na tretích stranách </w:t>
            </w:r>
            <w:r>
              <w:sym w:font="Symbol" w:char="F0A7"/>
            </w:r>
            <w:r>
              <w:t xml:space="preserve"> zvýšená náročnosť udržiavania kvality testov („bezzásahovosť“ predpokladá obdobie iba 5 rokov po odovzdaní projek</w:t>
            </w:r>
            <w:r>
              <w:t xml:space="preserve">tu) </w:t>
            </w:r>
            <w:r>
              <w:sym w:font="Symbol" w:char="F0A7"/>
            </w:r>
            <w:r>
              <w:t xml:space="preserve"> možná nízka úspešnosť certifikovaných z dôvodu slabej úrovne prípravy, </w:t>
            </w:r>
            <w:r>
              <w:sym w:font="Symbol" w:char="F0A7"/>
            </w:r>
            <w:r>
              <w:t xml:space="preserve"> organizačné zabezpečenie v podobe centrálne financovanej inštitúcie..</w:t>
            </w:r>
          </w:p>
        </w:tc>
      </w:tr>
      <w:tr w:rsidR="00000000">
        <w:trPr>
          <w:divId w:val="189495883"/>
          <w:cantSplit/>
          <w:tblCellSpacing w:w="15" w:type="dxa"/>
        </w:trPr>
        <w:tc>
          <w:tcPr>
            <w:tcW w:w="0" w:type="auto"/>
            <w:vAlign w:val="center"/>
            <w:hideMark/>
          </w:tcPr>
          <w:p w:rsidR="00000000" w:rsidRDefault="00501E77">
            <w:pPr>
              <w:pStyle w:val="Normlnywebov"/>
            </w:pPr>
            <w:r>
              <w:rPr>
                <w:rStyle w:val="Zvraznenie"/>
              </w:rPr>
              <w:t>Dôvod zamietnutia, alebo výberu riešenia (Max. 400 znakov)</w:t>
            </w:r>
          </w:p>
          <w:p w:rsidR="00000000" w:rsidRDefault="00501E77">
            <w:pPr>
              <w:pStyle w:val="Normlnywebov"/>
            </w:pPr>
            <w:r>
              <w:t>Na základe vyššie uvedených výhod a nevýhod al</w:t>
            </w:r>
            <w:r>
              <w:t>ternatívy C „Systém pre certifikáciu digitálnych kompetencií“ navrhujeme nepostupovať touto alternatívou.</w:t>
            </w:r>
          </w:p>
        </w:tc>
      </w:tr>
    </w:tbl>
    <w:p w:rsidR="00000000" w:rsidRDefault="00501E77">
      <w:pPr>
        <w:pStyle w:val="Nadpis3"/>
        <w:rPr>
          <w:rFonts w:eastAsia="Times New Roman"/>
        </w:rPr>
      </w:pPr>
      <w:r>
        <w:rPr>
          <w:rFonts w:eastAsia="Times New Roman"/>
        </w:rPr>
        <w:t>Alternatíva D – „Systém pre certifikáciu a rozvoj digitálnych kompetencií"</w:t>
      </w:r>
    </w:p>
    <w:tbl>
      <w:tblPr>
        <w:tblW w:w="21600" w:type="dxa"/>
        <w:tblCellSpacing w:w="15" w:type="dxa"/>
        <w:tblCellMar>
          <w:top w:w="15" w:type="dxa"/>
          <w:left w:w="15" w:type="dxa"/>
          <w:bottom w:w="15" w:type="dxa"/>
          <w:right w:w="15" w:type="dxa"/>
        </w:tblCellMar>
        <w:tblLook w:val="04A0" w:firstRow="1" w:lastRow="0" w:firstColumn="1" w:lastColumn="0" w:noHBand="0" w:noVBand="1"/>
      </w:tblPr>
      <w:tblGrid>
        <w:gridCol w:w="480"/>
      </w:tblGrid>
      <w:tr w:rsidR="00000000">
        <w:trPr>
          <w:divId w:val="1990360489"/>
          <w:cantSplit/>
          <w:tblCellSpacing w:w="15" w:type="dxa"/>
        </w:trPr>
        <w:tc>
          <w:tcPr>
            <w:tcW w:w="0" w:type="auto"/>
            <w:vAlign w:val="center"/>
            <w:hideMark/>
          </w:tcPr>
          <w:p w:rsidR="00000000" w:rsidRDefault="00501E77">
            <w:pPr>
              <w:pStyle w:val="Normlnywebov"/>
            </w:pPr>
            <w:r>
              <w:rPr>
                <w:rStyle w:val="Siln"/>
              </w:rPr>
              <w:t>Súhrnný popis</w:t>
            </w:r>
          </w:p>
        </w:tc>
      </w:tr>
      <w:tr w:rsidR="00000000">
        <w:trPr>
          <w:divId w:val="1990360489"/>
          <w:cantSplit/>
          <w:tblCellSpacing w:w="15" w:type="dxa"/>
        </w:trPr>
        <w:tc>
          <w:tcPr>
            <w:tcW w:w="0" w:type="auto"/>
            <w:vAlign w:val="center"/>
            <w:hideMark/>
          </w:tcPr>
          <w:p w:rsidR="00000000" w:rsidRDefault="00501E77">
            <w:pPr>
              <w:pStyle w:val="Normlnywebov"/>
            </w:pPr>
            <w:r>
              <w:rPr>
                <w:rStyle w:val="Zvraznenie"/>
              </w:rPr>
              <w:t>Úvodné informácie</w:t>
            </w:r>
            <w:r>
              <w:t xml:space="preserve"> </w:t>
            </w:r>
            <w:r>
              <w:br/>
            </w:r>
            <w:r>
              <w:rPr>
                <w:rStyle w:val="Zvraznenie"/>
              </w:rPr>
              <w:t>(Max. 800 znakov)</w:t>
            </w:r>
          </w:p>
          <w:p w:rsidR="00000000" w:rsidRDefault="00501E77">
            <w:pPr>
              <w:pStyle w:val="Normlnywebov"/>
            </w:pPr>
            <w:r>
              <w:t>Alternatíva D predstavuje komplexný prístup k digitálnym kompetenciám, t.j. aj prípravu aj samotné testovanie a evidenciu a vydávanie certifikátov. K funkcionalitám tejto alternatívy patria najmä:</w:t>
            </w:r>
          </w:p>
          <w:p w:rsidR="00000000" w:rsidRDefault="00501E77">
            <w:pPr>
              <w:pStyle w:val="Normlnywebov"/>
            </w:pPr>
            <w:r>
              <w:t>• On-line verejne prístupné kurzy</w:t>
            </w:r>
          </w:p>
          <w:p w:rsidR="00000000" w:rsidRDefault="00501E77">
            <w:pPr>
              <w:pStyle w:val="Normlnywebov"/>
            </w:pPr>
            <w:r>
              <w:t>• Návody na prípravu škol</w:t>
            </w:r>
            <w:r>
              <w:t>ení</w:t>
            </w:r>
          </w:p>
          <w:p w:rsidR="00000000" w:rsidRDefault="00501E77">
            <w:pPr>
              <w:pStyle w:val="Normlnywebov"/>
            </w:pPr>
            <w:r>
              <w:t>• Hodnotiace testy</w:t>
            </w:r>
          </w:p>
          <w:p w:rsidR="00000000" w:rsidRDefault="00501E77">
            <w:pPr>
              <w:pStyle w:val="Normlnywebov"/>
            </w:pPr>
            <w:r>
              <w:t>• Riadenie procesov certifikácie vrátane kontroly úhrady prípadných poplatkov za certifikáciu</w:t>
            </w:r>
          </w:p>
          <w:p w:rsidR="00000000" w:rsidRDefault="00501E77">
            <w:pPr>
              <w:pStyle w:val="Normlnywebov"/>
            </w:pPr>
            <w:r>
              <w:t>• Register certifikátov</w:t>
            </w:r>
          </w:p>
          <w:p w:rsidR="00000000" w:rsidRDefault="00501E77">
            <w:pPr>
              <w:pStyle w:val="Normlnywebov"/>
            </w:pPr>
            <w:r>
              <w:t>• Automatické vydávanie certifikátov</w:t>
            </w:r>
          </w:p>
          <w:p w:rsidR="00000000" w:rsidRDefault="00501E77">
            <w:pPr>
              <w:pStyle w:val="Normlnywebov"/>
            </w:pPr>
            <w:r>
              <w:t>• Doručovanie elektronických verzií certifikátov</w:t>
            </w:r>
          </w:p>
          <w:p w:rsidR="00000000" w:rsidRDefault="00501E77">
            <w:pPr>
              <w:pStyle w:val="Normlnywebov"/>
            </w:pPr>
            <w:r>
              <w:t>• Používanie elektronických c</w:t>
            </w:r>
            <w:r>
              <w:t>ertifikátov v zmysle Jedenkrát a dosť, Moje data a Otvorené údaje</w:t>
            </w:r>
          </w:p>
          <w:p w:rsidR="00000000" w:rsidRDefault="00501E77">
            <w:pPr>
              <w:pStyle w:val="Normlnywebov"/>
            </w:pPr>
            <w:r>
              <w:t>• Poskytovanie dát a údajov pre potreby nastavovania regulačného a metodického rámca digitálnych kompetencií </w:t>
            </w:r>
          </w:p>
          <w:p w:rsidR="00000000" w:rsidRDefault="00501E77">
            <w:pPr>
              <w:pStyle w:val="Normlnywebov"/>
            </w:pPr>
            <w:r>
              <w:t> • Rozvojové plány a sprievodca prípravou</w:t>
            </w:r>
          </w:p>
          <w:p w:rsidR="00000000" w:rsidRDefault="00501E77">
            <w:pPr>
              <w:pStyle w:val="Normlnywebov"/>
            </w:pPr>
            <w:r>
              <w:t xml:space="preserve">• Videonávody a interaktívne nástroje </w:t>
            </w:r>
            <w:r>
              <w:t>prípravy</w:t>
            </w:r>
          </w:p>
        </w:tc>
      </w:tr>
      <w:tr w:rsidR="00000000">
        <w:trPr>
          <w:divId w:val="1990360489"/>
          <w:cantSplit/>
          <w:tblCellSpacing w:w="15" w:type="dxa"/>
        </w:trPr>
        <w:tc>
          <w:tcPr>
            <w:tcW w:w="0" w:type="auto"/>
            <w:vAlign w:val="center"/>
            <w:hideMark/>
          </w:tcPr>
          <w:p w:rsidR="00000000" w:rsidRDefault="00501E77">
            <w:pPr>
              <w:pStyle w:val="Normlnywebov"/>
            </w:pPr>
            <w:r>
              <w:rPr>
                <w:rStyle w:val="Zvraznenie"/>
              </w:rPr>
              <w:t>Priestor pre sumárny obrázok / graf / diagram, nepovinná informácia.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006739246"/>
                <w:tblCellSpacing w:w="15" w:type="dxa"/>
              </w:trPr>
              <w:tc>
                <w:tcPr>
                  <w:tcW w:w="0" w:type="auto"/>
                  <w:vAlign w:val="center"/>
                  <w:hideMark/>
                </w:tcPr>
                <w:p w:rsidR="00000000" w:rsidRDefault="00501E77">
                  <w:pPr>
                    <w:jc w:val="center"/>
                    <w:rPr>
                      <w:rFonts w:eastAsia="Times New Roman"/>
                      <w:b/>
                      <w:bCs/>
                    </w:rPr>
                  </w:pPr>
                  <w:r>
                    <w:rPr>
                      <w:rFonts w:eastAsia="Times New Roman"/>
                      <w:b/>
                      <w:bCs/>
                    </w:rPr>
                    <w:t>Popis funkčnosti</w:t>
                  </w:r>
                </w:p>
              </w:tc>
              <w:tc>
                <w:tcPr>
                  <w:tcW w:w="0" w:type="auto"/>
                  <w:vAlign w:val="center"/>
                  <w:hideMark/>
                </w:tcPr>
                <w:p w:rsidR="00000000" w:rsidRDefault="00501E77">
                  <w:pPr>
                    <w:jc w:val="center"/>
                    <w:rPr>
                      <w:rFonts w:eastAsia="Times New Roman"/>
                      <w:b/>
                      <w:bCs/>
                    </w:rPr>
                  </w:pPr>
                  <w:r>
                    <w:rPr>
                      <w:rFonts w:eastAsia="Times New Roman"/>
                      <w:b/>
                      <w:bCs/>
                    </w:rPr>
                    <w:t>Alternatíva D</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eLearning</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MOOC</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Návody na prípravu školení</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Návody na online kurzy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Návody na vytvorenie testov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pStyle w:val="Normlnywebov"/>
                  </w:pPr>
                  <w:r>
                    <w:t>Selftesting (Nezáväzný test pre samoohodnotenie)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Rozvojové plány a sprievodca prípravou</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Správne poplatky za certifikácie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Event manažment</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Videonávody a interaktívne nástroje prípravy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Existujúce certifikačné mechanizmy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Register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Certifikačné testy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Automatické vydávanie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Doručovanie elektronických verzií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Používanie elektronických certifikátov v zmysle Jedenkrát a dosť, Moje data a Otvorené údaje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Analytické dáta a údaje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Príklad z existujúcich certifikátov a oprávnení (bez funkcionality centrálneho registra)</w:t>
                  </w:r>
                </w:p>
              </w:tc>
              <w:tc>
                <w:tcPr>
                  <w:tcW w:w="0" w:type="auto"/>
                  <w:vAlign w:val="center"/>
                  <w:hideMark/>
                </w:tcPr>
                <w:p w:rsidR="00000000" w:rsidRDefault="00501E77">
                  <w:pPr>
                    <w:rPr>
                      <w:rFonts w:eastAsia="Times New Roman"/>
                    </w:rPr>
                  </w:pPr>
                  <w:r>
                    <w:rPr>
                      <w:rFonts w:eastAsia="Times New Roman"/>
                    </w:rPr>
                    <w:t>Maturity</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2006739246"/>
                <w:cantSplit/>
                <w:tblCellSpacing w:w="15" w:type="dxa"/>
              </w:trPr>
              <w:tc>
                <w:tcPr>
                  <w:tcW w:w="0" w:type="auto"/>
                  <w:vAlign w:val="center"/>
                  <w:hideMark/>
                </w:tcPr>
                <w:p w:rsidR="00000000" w:rsidRDefault="00501E77">
                  <w:pPr>
                    <w:rPr>
                      <w:rFonts w:eastAsia="Times New Roman"/>
                    </w:rPr>
                  </w:pPr>
                  <w:r>
                    <w:rPr>
                      <w:rFonts w:eastAsia="Times New Roman"/>
                    </w:rPr>
                    <w:t>C - čiastočne</w:t>
                  </w:r>
                </w:p>
              </w:tc>
              <w:tc>
                <w:tcPr>
                  <w:tcW w:w="0" w:type="auto"/>
                  <w:vAlign w:val="center"/>
                  <w:hideMark/>
                </w:tcPr>
                <w:p w:rsidR="00000000" w:rsidRDefault="00501E77">
                  <w:pPr>
                    <w:rPr>
                      <w:rFonts w:eastAsia="Times New Roman"/>
                    </w:rPr>
                  </w:pPr>
                  <w:r>
                    <w:rPr>
                      <w:rFonts w:eastAsia="Times New Roman"/>
                    </w:rPr>
                    <w:t> </w:t>
                  </w:r>
                </w:p>
              </w:tc>
            </w:tr>
          </w:tbl>
          <w:p w:rsidR="00000000" w:rsidRDefault="00501E77">
            <w:pPr>
              <w:pStyle w:val="Normlnywebov"/>
            </w:pPr>
          </w:p>
        </w:tc>
      </w:tr>
      <w:tr w:rsidR="00000000">
        <w:trPr>
          <w:divId w:val="1990360489"/>
          <w:cantSplit/>
          <w:tblCellSpacing w:w="15" w:type="dxa"/>
        </w:trPr>
        <w:tc>
          <w:tcPr>
            <w:tcW w:w="0" w:type="auto"/>
            <w:vAlign w:val="center"/>
            <w:hideMark/>
          </w:tcPr>
          <w:p w:rsidR="00000000" w:rsidRDefault="00501E77">
            <w:pPr>
              <w:pStyle w:val="Normlnywebov"/>
            </w:pPr>
            <w:r>
              <w:rPr>
                <w:rStyle w:val="Zvraznenie"/>
              </w:rPr>
              <w:t>Ďalšie informácie</w:t>
            </w:r>
            <w:r>
              <w:t xml:space="preserve"> </w:t>
            </w:r>
            <w:r>
              <w:br/>
            </w:r>
            <w:r>
              <w:rPr>
                <w:rStyle w:val="Zvraznenie"/>
              </w:rPr>
              <w:t>(Max. 800 znakov)</w:t>
            </w:r>
          </w:p>
          <w:p w:rsidR="00000000" w:rsidRDefault="00501E77">
            <w:pPr>
              <w:pStyle w:val="Normlnywebov"/>
            </w:pPr>
            <w:r>
              <w:t xml:space="preserve">Za výhody takéhoto riešenia je možné považovať: </w:t>
            </w:r>
            <w:r>
              <w:sym w:font="Symbol" w:char="F0A7"/>
            </w:r>
            <w:r>
              <w:t xml:space="preserve"> centrálnu evidenciu certifikátov </w:t>
            </w:r>
            <w:r>
              <w:sym w:font="Symbol" w:char="F0A7"/>
            </w:r>
            <w:r>
              <w:t xml:space="preserve"> sprístupňo</w:t>
            </w:r>
            <w:r>
              <w:t xml:space="preserve">vanie certifikátov v zmysle „Jedenkrát a dosť“ a „Moje dáta“ </w:t>
            </w:r>
            <w:r>
              <w:sym w:font="Symbol" w:char="F0A7"/>
            </w:r>
            <w:r>
              <w:t xml:space="preserve"> centrálny manažment kvality procesu certifikácie </w:t>
            </w:r>
            <w:r>
              <w:sym w:font="Symbol" w:char="F0A7"/>
            </w:r>
            <w:r>
              <w:t xml:space="preserve"> minimalizáciu subjektívneho vplyvu na certifikáciu vďaka centrálnemu dohľadu a automatizovaným nástrojom pre väčšinu testov </w:t>
            </w:r>
            <w:r>
              <w:sym w:font="Symbol" w:char="F0A7"/>
            </w:r>
            <w:r>
              <w:t xml:space="preserve"> otvorené on-line</w:t>
            </w:r>
            <w:r>
              <w:t xml:space="preserve"> kurzy a nástroje pre umožnenie zvyšovania kompetencií Za nevýhody takéhoto riešenia je možné považovať: </w:t>
            </w:r>
            <w:r>
              <w:sym w:font="Symbol" w:char="F0A7"/>
            </w:r>
            <w:r>
              <w:t xml:space="preserve"> vyššia finančná náročnosť udržiavania prevádzky, </w:t>
            </w:r>
            <w:r>
              <w:sym w:font="Symbol" w:char="F0A7"/>
            </w:r>
            <w:r>
              <w:t xml:space="preserve"> organizačné zabezpečenie v podobe centrálne financovanej inštitúcie.. </w:t>
            </w:r>
            <w:r>
              <w:sym w:font="Symbol" w:char="F0A7"/>
            </w:r>
            <w:r>
              <w:t xml:space="preserve"> zvýšená náročnosť udržiava</w:t>
            </w:r>
            <w:r>
              <w:t xml:space="preserve">nia kvality testov („bezzásahovosť“ predpokladá obdobie iba 5 rokov po odovzdaní projektu) </w:t>
            </w:r>
            <w:r>
              <w:sym w:font="Symbol" w:char="F0A7"/>
            </w:r>
            <w:r>
              <w:t xml:space="preserve"> nevyhnutnosť permanentnej úpravy kurzov a nástrojov z dôvodu vysokej dynamiky IKT</w:t>
            </w:r>
          </w:p>
        </w:tc>
      </w:tr>
      <w:tr w:rsidR="00000000">
        <w:trPr>
          <w:divId w:val="1990360489"/>
          <w:cantSplit/>
          <w:tblCellSpacing w:w="15" w:type="dxa"/>
        </w:trPr>
        <w:tc>
          <w:tcPr>
            <w:tcW w:w="0" w:type="auto"/>
            <w:vAlign w:val="center"/>
            <w:hideMark/>
          </w:tcPr>
          <w:p w:rsidR="00000000" w:rsidRDefault="00501E77">
            <w:pPr>
              <w:pStyle w:val="Normlnywebov"/>
            </w:pPr>
            <w:r>
              <w:rPr>
                <w:rStyle w:val="Zvraznenie"/>
              </w:rPr>
              <w:t>Dôvod zamietnutia, alebo výberu riešenia (Max. 400 znakov)</w:t>
            </w:r>
          </w:p>
          <w:p w:rsidR="00000000" w:rsidRDefault="00501E77">
            <w:pPr>
              <w:pStyle w:val="Normlnywebov"/>
            </w:pPr>
            <w:r>
              <w:t>Vzhľadom k vysokej ce</w:t>
            </w:r>
            <w:r>
              <w:t>ne navrhujeme nepostupovať touto alternatívou.</w:t>
            </w:r>
          </w:p>
        </w:tc>
      </w:tr>
    </w:tbl>
    <w:p w:rsidR="00000000" w:rsidRDefault="00501E77">
      <w:pPr>
        <w:pStyle w:val="Nadpis3"/>
        <w:rPr>
          <w:rFonts w:eastAsia="Times New Roman"/>
        </w:rPr>
      </w:pPr>
      <w:r>
        <w:rPr>
          <w:rFonts w:eastAsia="Times New Roman"/>
        </w:rPr>
        <w:t>Alternatíva E – "Systém centrálnej certifikácie úrovní digitálnych kompetencií"</w:t>
      </w:r>
    </w:p>
    <w:tbl>
      <w:tblPr>
        <w:tblW w:w="21600" w:type="dxa"/>
        <w:tblCellSpacing w:w="15" w:type="dxa"/>
        <w:tblCellMar>
          <w:top w:w="15" w:type="dxa"/>
          <w:left w:w="15" w:type="dxa"/>
          <w:bottom w:w="15" w:type="dxa"/>
          <w:right w:w="15" w:type="dxa"/>
        </w:tblCellMar>
        <w:tblLook w:val="04A0" w:firstRow="1" w:lastRow="0" w:firstColumn="1" w:lastColumn="0" w:noHBand="0" w:noVBand="1"/>
      </w:tblPr>
      <w:tblGrid>
        <w:gridCol w:w="480"/>
      </w:tblGrid>
      <w:tr w:rsidR="00000000">
        <w:trPr>
          <w:divId w:val="998581157"/>
          <w:cantSplit/>
          <w:tblCellSpacing w:w="15" w:type="dxa"/>
        </w:trPr>
        <w:tc>
          <w:tcPr>
            <w:tcW w:w="0" w:type="auto"/>
            <w:vAlign w:val="center"/>
            <w:hideMark/>
          </w:tcPr>
          <w:p w:rsidR="00000000" w:rsidRDefault="00501E77">
            <w:pPr>
              <w:pStyle w:val="Normlnywebov"/>
            </w:pPr>
            <w:r>
              <w:rPr>
                <w:rStyle w:val="Siln"/>
              </w:rPr>
              <w:t>Súhrnný popis</w:t>
            </w:r>
          </w:p>
        </w:tc>
      </w:tr>
      <w:tr w:rsidR="00000000">
        <w:trPr>
          <w:divId w:val="998581157"/>
          <w:cantSplit/>
          <w:tblCellSpacing w:w="15" w:type="dxa"/>
        </w:trPr>
        <w:tc>
          <w:tcPr>
            <w:tcW w:w="0" w:type="auto"/>
            <w:vAlign w:val="center"/>
            <w:hideMark/>
          </w:tcPr>
          <w:p w:rsidR="00000000" w:rsidRDefault="00501E77">
            <w:pPr>
              <w:pStyle w:val="Normlnywebov"/>
            </w:pPr>
            <w:r>
              <w:rPr>
                <w:rStyle w:val="Zvraznenie"/>
              </w:rPr>
              <w:t>Úvodné informácie</w:t>
            </w:r>
            <w:r>
              <w:t xml:space="preserve"> </w:t>
            </w:r>
            <w:r>
              <w:br/>
            </w:r>
            <w:r>
              <w:rPr>
                <w:rStyle w:val="Zvraznenie"/>
              </w:rPr>
              <w:t>(Max. 800 znakov)</w:t>
            </w:r>
          </w:p>
          <w:p w:rsidR="00000000" w:rsidRDefault="00501E77">
            <w:pPr>
              <w:pStyle w:val="Normlnywebov"/>
            </w:pPr>
            <w:r>
              <w:t>Alternatíva E navrhuje vybudovanie komplexného centrálneho informačného systému, ktorý zastreší oblasť testovania a následného vydávania</w:t>
            </w:r>
            <w:r>
              <w:t xml:space="preserve"> </w:t>
            </w:r>
            <w:r>
              <w:rPr>
                <w:rStyle w:val="inline-comment-marker"/>
              </w:rPr>
              <w:t>certifikátov pr</w:t>
            </w:r>
            <w:r>
              <w:rPr>
                <w:rStyle w:val="inline-comment-marker"/>
              </w:rPr>
              <w:t>e</w:t>
            </w:r>
            <w:r>
              <w:t xml:space="preserve"> úrovne A1, A2, B1 a B2. Táto alternatíva nepredpokladá vytvorenie centrálneho systému pre prípravu na </w:t>
            </w:r>
            <w:r>
              <w:t>certifikácie (zvyšovanie úrovne kompetencií). Alternatíva zároveň predpokladá aj vytvorenie on-line testov pre právne nezáväzné samotestovanie všeobecných úrovne digitálnych kompetencií. Tak ako alternatíva B aj alternatíva E predpokladá vytvorenie centrál</w:t>
            </w:r>
            <w:r>
              <w:t>nej evidencie certifikátov, ich zdieľanie v zmysle princípu „Jedenkrát a dosť“.</w:t>
            </w:r>
          </w:p>
          <w:p w:rsidR="00000000" w:rsidRDefault="00501E77">
            <w:pPr>
              <w:pStyle w:val="Normlnywebov"/>
            </w:pPr>
            <w:r>
              <w:t>Funkcionalita tejto alternatívy zahŕňa najmä:</w:t>
            </w:r>
          </w:p>
          <w:p w:rsidR="00000000" w:rsidRDefault="00501E77">
            <w:pPr>
              <w:pStyle w:val="Normlnywebov"/>
            </w:pPr>
            <w:r>
              <w:t>• Hodnotiace testy a profiláciu</w:t>
            </w:r>
          </w:p>
          <w:p w:rsidR="00000000" w:rsidRDefault="00501E77">
            <w:pPr>
              <w:pStyle w:val="Normlnywebov"/>
            </w:pPr>
            <w:r>
              <w:t>• Riadenie procesov certifikácie vrátane kontroly úhrady prípadných poplatkov za certifikáciu</w:t>
            </w:r>
          </w:p>
          <w:p w:rsidR="00000000" w:rsidRDefault="00501E77">
            <w:pPr>
              <w:pStyle w:val="Normlnywebov"/>
            </w:pPr>
            <w:r>
              <w:t>• Re</w:t>
            </w:r>
            <w:r>
              <w:t>gister certifikátov</w:t>
            </w:r>
          </w:p>
          <w:p w:rsidR="00000000" w:rsidRDefault="00501E77">
            <w:pPr>
              <w:pStyle w:val="Normlnywebov"/>
            </w:pPr>
            <w:r>
              <w:t>• Automatické vydávanie certifikátov</w:t>
            </w:r>
          </w:p>
          <w:p w:rsidR="00000000" w:rsidRDefault="00501E77">
            <w:pPr>
              <w:pStyle w:val="Normlnywebov"/>
            </w:pPr>
            <w:r>
              <w:t>• Doručovanie elektronických verzií certifikátov</w:t>
            </w:r>
          </w:p>
          <w:p w:rsidR="00000000" w:rsidRDefault="00501E77">
            <w:pPr>
              <w:pStyle w:val="Normlnywebov"/>
            </w:pPr>
            <w:r>
              <w:t>• Používanie elektronických certifikátov v zmysle Jedenkrát a dosť, Moje data a Otvorené údaje</w:t>
            </w:r>
          </w:p>
          <w:p w:rsidR="00000000" w:rsidRDefault="00501E77">
            <w:pPr>
              <w:pStyle w:val="Normlnywebov"/>
            </w:pPr>
            <w:r>
              <w:t>• Poskytovanie dát a údajov pre potreby nastavovania re</w:t>
            </w:r>
            <w:r>
              <w:t>gulačného a metodického rámca digitálnych kompetencií </w:t>
            </w:r>
          </w:p>
          <w:p w:rsidR="00000000" w:rsidRDefault="00501E77">
            <w:pPr>
              <w:divId w:val="1828328011"/>
              <w:rPr>
                <w:rFonts w:eastAsia="Times New Roman"/>
              </w:rPr>
            </w:pPr>
          </w:p>
        </w:tc>
      </w:tr>
      <w:tr w:rsidR="00000000">
        <w:trPr>
          <w:divId w:val="998581157"/>
          <w:cantSplit/>
          <w:tblCellSpacing w:w="15" w:type="dxa"/>
        </w:trPr>
        <w:tc>
          <w:tcPr>
            <w:tcW w:w="0" w:type="auto"/>
            <w:vAlign w:val="center"/>
            <w:hideMark/>
          </w:tcPr>
          <w:p w:rsidR="00000000" w:rsidRDefault="00501E77">
            <w:pPr>
              <w:pStyle w:val="Normlnywebov"/>
            </w:pPr>
            <w:r>
              <w:rPr>
                <w:rStyle w:val="Zvraznenie"/>
              </w:rPr>
              <w:t>Priestor pre sumárny obrázok / graf / diagram, nepovinná informácia.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735053168"/>
                <w:tblCellSpacing w:w="15" w:type="dxa"/>
              </w:trPr>
              <w:tc>
                <w:tcPr>
                  <w:tcW w:w="0" w:type="auto"/>
                  <w:vAlign w:val="center"/>
                  <w:hideMark/>
                </w:tcPr>
                <w:p w:rsidR="00000000" w:rsidRDefault="00501E77">
                  <w:pPr>
                    <w:jc w:val="center"/>
                    <w:rPr>
                      <w:rFonts w:eastAsia="Times New Roman"/>
                      <w:b/>
                      <w:bCs/>
                    </w:rPr>
                  </w:pPr>
                  <w:r>
                    <w:rPr>
                      <w:rFonts w:eastAsia="Times New Roman"/>
                      <w:b/>
                      <w:bCs/>
                    </w:rPr>
                    <w:t>Popis funkčnosti</w:t>
                  </w:r>
                </w:p>
              </w:tc>
              <w:tc>
                <w:tcPr>
                  <w:tcW w:w="0" w:type="auto"/>
                  <w:vAlign w:val="center"/>
                  <w:hideMark/>
                </w:tcPr>
                <w:p w:rsidR="00000000" w:rsidRDefault="00501E77">
                  <w:pPr>
                    <w:jc w:val="center"/>
                    <w:rPr>
                      <w:rFonts w:eastAsia="Times New Roman"/>
                      <w:b/>
                      <w:bCs/>
                    </w:rPr>
                  </w:pPr>
                  <w:r>
                    <w:rPr>
                      <w:rFonts w:eastAsia="Times New Roman"/>
                      <w:b/>
                      <w:bCs/>
                    </w:rPr>
                    <w:t>Alternatíva E</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eLearning</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MOOC</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Návody na prípravu školení</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Návody na online kurzy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Návody na vytvorenie testov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pStyle w:val="Normlnywebov"/>
                  </w:pPr>
                  <w:r>
                    <w:t>Selftesting (Nezáväzný test pre samoohodnotenie)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Rozvojové plány a sprievodca prípravou</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Správne poplatky za certifikácie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Event manažment</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Videonávody a interaktívne nástroje prípravy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Existujúce certifikačné mechanizmy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Register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Certifikačné testy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Automatické vydávanie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Doručovanie elektronických verzií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Používanie elektronických certifikátov v zmysle Jedenkrát a dosť, Moje data a Otvor</w:t>
                  </w:r>
                  <w:r>
                    <w:rPr>
                      <w:rFonts w:eastAsia="Times New Roman"/>
                    </w:rPr>
                    <w:t>ené údaje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Analytické dáta a údaje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Príklad z existujúcich certifikátov a oprávnení (bez funkcionality centrálneho registra)</w:t>
                  </w:r>
                </w:p>
              </w:tc>
              <w:tc>
                <w:tcPr>
                  <w:tcW w:w="0" w:type="auto"/>
                  <w:vAlign w:val="center"/>
                  <w:hideMark/>
                </w:tcPr>
                <w:p w:rsidR="00000000" w:rsidRDefault="00501E77">
                  <w:pPr>
                    <w:rPr>
                      <w:rFonts w:eastAsia="Times New Roman"/>
                    </w:rPr>
                  </w:pPr>
                  <w:r>
                    <w:rPr>
                      <w:rFonts w:eastAsia="Times New Roman"/>
                    </w:rPr>
                    <w:t>Vodičské oprávnenie</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735053168"/>
                <w:cantSplit/>
                <w:tblCellSpacing w:w="15" w:type="dxa"/>
              </w:trPr>
              <w:tc>
                <w:tcPr>
                  <w:tcW w:w="0" w:type="auto"/>
                  <w:vAlign w:val="center"/>
                  <w:hideMark/>
                </w:tcPr>
                <w:p w:rsidR="00000000" w:rsidRDefault="00501E77">
                  <w:pPr>
                    <w:rPr>
                      <w:rFonts w:eastAsia="Times New Roman"/>
                    </w:rPr>
                  </w:pPr>
                  <w:r>
                    <w:rPr>
                      <w:rFonts w:eastAsia="Times New Roman"/>
                    </w:rPr>
                    <w:t>C - čiastočne</w:t>
                  </w:r>
                </w:p>
              </w:tc>
              <w:tc>
                <w:tcPr>
                  <w:tcW w:w="0" w:type="auto"/>
                  <w:vAlign w:val="center"/>
                  <w:hideMark/>
                </w:tcPr>
                <w:p w:rsidR="00000000" w:rsidRDefault="00501E77">
                  <w:pPr>
                    <w:rPr>
                      <w:rFonts w:eastAsia="Times New Roman"/>
                    </w:rPr>
                  </w:pPr>
                  <w:r>
                    <w:rPr>
                      <w:rFonts w:eastAsia="Times New Roman"/>
                    </w:rPr>
                    <w:t> </w:t>
                  </w:r>
                </w:p>
              </w:tc>
            </w:tr>
          </w:tbl>
          <w:p w:rsidR="00000000" w:rsidRDefault="00501E77">
            <w:pPr>
              <w:pStyle w:val="Normlnywebov"/>
            </w:pPr>
          </w:p>
        </w:tc>
      </w:tr>
      <w:tr w:rsidR="00000000">
        <w:trPr>
          <w:divId w:val="998581157"/>
          <w:cantSplit/>
          <w:tblCellSpacing w:w="15" w:type="dxa"/>
        </w:trPr>
        <w:tc>
          <w:tcPr>
            <w:tcW w:w="0" w:type="auto"/>
            <w:vAlign w:val="center"/>
            <w:hideMark/>
          </w:tcPr>
          <w:p w:rsidR="00000000" w:rsidRDefault="00501E77">
            <w:pPr>
              <w:pStyle w:val="Normlnywebov"/>
            </w:pPr>
            <w:r>
              <w:rPr>
                <w:rStyle w:val="Zvraznenie"/>
              </w:rPr>
              <w:t>Ďalšie informácie</w:t>
            </w:r>
            <w:r>
              <w:t xml:space="preserve"> </w:t>
            </w:r>
            <w:r>
              <w:br/>
            </w:r>
            <w:r>
              <w:rPr>
                <w:rStyle w:val="Zvraznenie"/>
              </w:rPr>
              <w:t>(Max. 800 znakov)</w:t>
            </w:r>
          </w:p>
          <w:p w:rsidR="00000000" w:rsidRDefault="00501E77">
            <w:pPr>
              <w:pStyle w:val="Normlnywebov"/>
            </w:pPr>
            <w:r>
              <w:t>Za výhody takéhoto riešenia je možné považovať:</w:t>
            </w:r>
          </w:p>
          <w:p w:rsidR="00000000" w:rsidRDefault="00501E77">
            <w:pPr>
              <w:pStyle w:val="Normlnywebov"/>
            </w:pPr>
            <w:r>
              <w:sym w:font="Symbol" w:char="F0A7"/>
            </w:r>
            <w:r>
              <w:t xml:space="preserve"> centrálnu evidenciu certifikátov</w:t>
            </w:r>
          </w:p>
          <w:p w:rsidR="00000000" w:rsidRDefault="00501E77">
            <w:pPr>
              <w:pStyle w:val="Normlnywebov"/>
            </w:pPr>
            <w:r>
              <w:sym w:font="Symbol" w:char="F0A7"/>
            </w:r>
            <w:r>
              <w:t xml:space="preserve"> sprístupňovanie certifikátov v zmysle „Jedenkrát a dosť“ a „Moje dáta“</w:t>
            </w:r>
          </w:p>
          <w:p w:rsidR="00000000" w:rsidRDefault="00501E77">
            <w:pPr>
              <w:pStyle w:val="Normlnywebov"/>
            </w:pPr>
            <w:r>
              <w:sym w:font="Symbol" w:char="F0A7"/>
            </w:r>
            <w:r>
              <w:t xml:space="preserve"> centrálny manažment kvality procesu certifikácie</w:t>
            </w:r>
          </w:p>
          <w:p w:rsidR="00000000" w:rsidRDefault="00501E77">
            <w:pPr>
              <w:pStyle w:val="Normlnywebov"/>
            </w:pPr>
            <w:r>
              <w:sym w:font="Symbol" w:char="F0A7"/>
            </w:r>
            <w:r>
              <w:t xml:space="preserve"> minimalizáciu subjektívneho vplyvu na certifiká</w:t>
            </w:r>
            <w:r>
              <w:t>ciu vďaka centrálnemu dohľadu a automatizovaným nástrojom pre testy.</w:t>
            </w:r>
          </w:p>
          <w:p w:rsidR="00000000" w:rsidRDefault="00501E77">
            <w:pPr>
              <w:pStyle w:val="Normlnywebov"/>
            </w:pPr>
            <w:r>
              <w:t>Za nevýhody takéhoto riešenia je možné považovať:</w:t>
            </w:r>
          </w:p>
          <w:p w:rsidR="00000000" w:rsidRDefault="00501E77">
            <w:pPr>
              <w:pStyle w:val="Normlnywebov"/>
            </w:pPr>
            <w:r>
              <w:sym w:font="Symbol" w:char="F0A7"/>
            </w:r>
            <w:r>
              <w:t xml:space="preserve"> závislosť prípravy na tretích stranách</w:t>
            </w:r>
          </w:p>
          <w:p w:rsidR="00000000" w:rsidRDefault="00501E77">
            <w:pPr>
              <w:pStyle w:val="Normlnywebov"/>
            </w:pPr>
            <w:r>
              <w:sym w:font="Symbol" w:char="F0A7"/>
            </w:r>
            <w:r>
              <w:t xml:space="preserve"> zvýšenú náročnosť udržiavania kvality testov (obmedzený rozsah testovacích položiek a otázok p</w:t>
            </w:r>
            <w:r>
              <w:t>redpokladá ich „opotrebovanie“ a nevyhnutnosť zmeny resp. vynovenia)</w:t>
            </w:r>
          </w:p>
          <w:p w:rsidR="00000000" w:rsidRDefault="00501E77">
            <w:pPr>
              <w:pStyle w:val="Normlnywebov"/>
            </w:pPr>
            <w:r>
              <w:sym w:font="Symbol" w:char="F0A7"/>
            </w:r>
            <w:r>
              <w:t xml:space="preserve"> možná nízka úspešnosť certifikovaných z dôvodu slabej úrovne prípravy,</w:t>
            </w:r>
          </w:p>
          <w:p w:rsidR="00000000" w:rsidRDefault="00501E77">
            <w:pPr>
              <w:pStyle w:val="Normlnywebov"/>
            </w:pPr>
            <w:r>
              <w:sym w:font="Symbol" w:char="F0A7"/>
            </w:r>
            <w:r>
              <w:t xml:space="preserve"> organizačné zabezpečenie v podobe centrálne financovanej inštitúcie,</w:t>
            </w:r>
          </w:p>
          <w:p w:rsidR="00000000" w:rsidRDefault="00501E77">
            <w:pPr>
              <w:pStyle w:val="Normlnywebov"/>
            </w:pPr>
            <w:r>
              <w:rPr>
                <w:rStyle w:val="inline-comment-marker"/>
              </w:rPr>
              <w:sym w:font="Symbol" w:char="F0A7"/>
            </w:r>
            <w:r>
              <w:rPr>
                <w:rStyle w:val="inline-comment-marker"/>
              </w:rPr>
              <w:t xml:space="preserve"> absenciu celoživotne platných certifikáto</w:t>
            </w:r>
            <w:r>
              <w:rPr>
                <w:rStyle w:val="inline-comment-marker"/>
              </w:rPr>
              <w:t>v (diplomov)</w:t>
            </w:r>
            <w:r>
              <w:rPr>
                <w:rStyle w:val="inline-comment-marker"/>
              </w:rPr>
              <w:t>.</w:t>
            </w:r>
          </w:p>
        </w:tc>
      </w:tr>
      <w:tr w:rsidR="00000000">
        <w:trPr>
          <w:divId w:val="998581157"/>
          <w:cantSplit/>
          <w:tblCellSpacing w:w="15" w:type="dxa"/>
        </w:trPr>
        <w:tc>
          <w:tcPr>
            <w:tcW w:w="0" w:type="auto"/>
            <w:vAlign w:val="center"/>
            <w:hideMark/>
          </w:tcPr>
          <w:p w:rsidR="00000000" w:rsidRDefault="00501E77">
            <w:pPr>
              <w:pStyle w:val="Normlnywebov"/>
            </w:pPr>
            <w:r>
              <w:rPr>
                <w:rStyle w:val="Zvraznenie"/>
              </w:rPr>
              <w:t>Dôvod zamietnutia, alebo výberu riešenia (Max. 400 znakov)</w:t>
            </w:r>
          </w:p>
          <w:p w:rsidR="00000000" w:rsidRDefault="00501E77">
            <w:pPr>
              <w:pStyle w:val="Normlnywebov"/>
            </w:pPr>
            <w:r>
              <w:t>Na základe vyššie uvedených výhod a nevýhod alternatívy E „Systém centrálnej certifikácie úrovní digitálnych kompetencií “ navrhujeme postupovať touto alternatívou.</w:t>
            </w:r>
          </w:p>
        </w:tc>
      </w:tr>
    </w:tbl>
    <w:p w:rsidR="00000000" w:rsidRDefault="00501E77">
      <w:pPr>
        <w:pStyle w:val="Nadpis3"/>
        <w:rPr>
          <w:rFonts w:eastAsia="Times New Roman"/>
        </w:rPr>
      </w:pPr>
      <w:r>
        <w:rPr>
          <w:rFonts w:eastAsia="Times New Roman"/>
        </w:rPr>
        <w:t>Alternatíva F – "Minimalistická varianta systému centrálnej certifikácie úrovní digitálnych kompetencií"</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tblGrid>
      <w:tr w:rsidR="00000000">
        <w:trPr>
          <w:divId w:val="1592079848"/>
          <w:cantSplit/>
          <w:tblCellSpacing w:w="15" w:type="dxa"/>
        </w:trPr>
        <w:tc>
          <w:tcPr>
            <w:tcW w:w="0" w:type="auto"/>
            <w:vAlign w:val="center"/>
            <w:hideMark/>
          </w:tcPr>
          <w:p w:rsidR="00000000" w:rsidRDefault="00501E77">
            <w:pPr>
              <w:pStyle w:val="Normlnywebov"/>
            </w:pPr>
            <w:r>
              <w:rPr>
                <w:rStyle w:val="Siln"/>
              </w:rPr>
              <w:t>Súhrnný popis</w:t>
            </w:r>
          </w:p>
        </w:tc>
      </w:tr>
      <w:tr w:rsidR="00000000">
        <w:trPr>
          <w:divId w:val="1592079848"/>
          <w:cantSplit/>
          <w:tblCellSpacing w:w="15" w:type="dxa"/>
        </w:trPr>
        <w:tc>
          <w:tcPr>
            <w:tcW w:w="0" w:type="auto"/>
            <w:vAlign w:val="center"/>
            <w:hideMark/>
          </w:tcPr>
          <w:p w:rsidR="00000000" w:rsidRDefault="00501E77">
            <w:pPr>
              <w:pStyle w:val="Normlnywebov"/>
            </w:pPr>
            <w:r>
              <w:rPr>
                <w:rStyle w:val="Zvraznenie"/>
              </w:rPr>
              <w:t>Úvodné informácie</w:t>
            </w:r>
            <w:r>
              <w:t xml:space="preserve"> </w:t>
            </w:r>
            <w:r>
              <w:br/>
            </w:r>
            <w:r>
              <w:rPr>
                <w:rStyle w:val="Zvraznenie"/>
              </w:rPr>
              <w:t>(Max. 800 znakov)</w:t>
            </w:r>
          </w:p>
          <w:p w:rsidR="00000000" w:rsidRDefault="00501E77">
            <w:pPr>
              <w:pStyle w:val="Normlnywebov"/>
            </w:pPr>
            <w:r>
              <w:t xml:space="preserve">Alternatíva F navrhuje vybudovanie nevyhnutných komponentov pre oblasť testovania certifikátov pre </w:t>
            </w:r>
            <w:r>
              <w:t>úrovne A1, A2, B1 a B2. Predpokladá poloautomatizovanú prevádzku a procesy, čím kladie zvýšené nároky na úradníkov a zamestnancov štátu. Zároveň predpokladá dramatické zníženie počtu testovacích položiek (10% z počtu pre alternatívu E)</w:t>
            </w:r>
          </w:p>
          <w:p w:rsidR="00000000" w:rsidRDefault="00501E77">
            <w:pPr>
              <w:pStyle w:val="Normlnywebov"/>
            </w:pPr>
            <w:r>
              <w:t xml:space="preserve">Funkcionalita tejto </w:t>
            </w:r>
            <w:r>
              <w:t>alternatívy zahŕňa najmä:</w:t>
            </w:r>
          </w:p>
          <w:p w:rsidR="00000000" w:rsidRDefault="00501E77">
            <w:pPr>
              <w:pStyle w:val="Normlnywebov"/>
            </w:pPr>
            <w:r>
              <w:rPr>
                <w:rStyle w:val="Zvraznenie"/>
              </w:rPr>
              <w:t>•</w:t>
            </w:r>
            <w:r>
              <w:rPr>
                <w:rStyle w:val="Zvraznenie"/>
              </w:rPr>
              <w:t xml:space="preserve"> </w:t>
            </w:r>
            <w:r>
              <w:rPr>
                <w:rStyle w:val="inline-comment-marker"/>
                <w:i/>
                <w:iCs/>
              </w:rPr>
              <w:t>Certifikačné test</w:t>
            </w:r>
            <w:r>
              <w:rPr>
                <w:rStyle w:val="inline-comment-marker"/>
                <w:i/>
                <w:iCs/>
              </w:rPr>
              <w:t>y</w:t>
            </w:r>
            <w:r>
              <w:rPr>
                <w:rStyle w:val="Zvraznenie"/>
              </w:rPr>
              <w:t> </w:t>
            </w:r>
          </w:p>
        </w:tc>
      </w:tr>
      <w:tr w:rsidR="00000000">
        <w:trPr>
          <w:divId w:val="1592079848"/>
          <w:cantSplit/>
          <w:tblCellSpacing w:w="15" w:type="dxa"/>
        </w:trPr>
        <w:tc>
          <w:tcPr>
            <w:tcW w:w="0" w:type="auto"/>
            <w:vAlign w:val="center"/>
            <w:hideMark/>
          </w:tcPr>
          <w:p w:rsidR="00000000" w:rsidRDefault="00501E77">
            <w:pPr>
              <w:pStyle w:val="Normlnywebov"/>
            </w:pPr>
            <w:r>
              <w:rPr>
                <w:rStyle w:val="Zvraznenie"/>
              </w:rPr>
              <w:t>Priestor pre sumárny obrázok / graf / diagram, nepovinná informácia.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025745898"/>
                <w:tblCellSpacing w:w="15" w:type="dxa"/>
              </w:trPr>
              <w:tc>
                <w:tcPr>
                  <w:tcW w:w="0" w:type="auto"/>
                  <w:vAlign w:val="center"/>
                  <w:hideMark/>
                </w:tcPr>
                <w:p w:rsidR="00000000" w:rsidRDefault="00501E77">
                  <w:pPr>
                    <w:jc w:val="center"/>
                    <w:rPr>
                      <w:rFonts w:eastAsia="Times New Roman"/>
                      <w:b/>
                      <w:bCs/>
                    </w:rPr>
                  </w:pPr>
                  <w:r>
                    <w:rPr>
                      <w:rFonts w:eastAsia="Times New Roman"/>
                      <w:b/>
                      <w:bCs/>
                    </w:rPr>
                    <w:t>Popis funkčnosti</w:t>
                  </w:r>
                </w:p>
              </w:tc>
              <w:tc>
                <w:tcPr>
                  <w:tcW w:w="0" w:type="auto"/>
                  <w:vAlign w:val="center"/>
                  <w:hideMark/>
                </w:tcPr>
                <w:p w:rsidR="00000000" w:rsidRDefault="00501E77">
                  <w:pPr>
                    <w:jc w:val="center"/>
                    <w:rPr>
                      <w:rFonts w:eastAsia="Times New Roman"/>
                      <w:b/>
                      <w:bCs/>
                    </w:rPr>
                  </w:pPr>
                  <w:r>
                    <w:rPr>
                      <w:rFonts w:eastAsia="Times New Roman"/>
                      <w:b/>
                      <w:bCs/>
                    </w:rPr>
                    <w:t>Alternatíva F</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eLearning</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MOOC</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Návody na prípravu školení</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Návody na online kurzy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Návody na vytvorenie testov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pStyle w:val="Normlnywebov"/>
                  </w:pPr>
                  <w:r>
                    <w:t>Selftesting (Nezáväzný test pre samoohodnotenie)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Rozvojové plány a sprievodca prípravou</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Správne poplatky za certifikácie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Event manažment</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Videonávody a interaktívne nástroje prípravy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Existujúce certifikačné mechanizmy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Register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Certifikačné testy</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Automatické vydávanie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Doručovanie elektronických verzií certifikátov</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Používanie elektronických certifikátov v zmysle Jedenkrát a dosť, Moje data a Otvorené údaje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Style w:val="inline-comment-marker"/>
                      <w:rFonts w:eastAsia="Times New Roman"/>
                    </w:rPr>
                    <w:t>Analytické dáta a údaj</w:t>
                  </w:r>
                  <w:r>
                    <w:rPr>
                      <w:rStyle w:val="inline-comment-marker"/>
                      <w:rFonts w:eastAsia="Times New Roman"/>
                    </w:rPr>
                    <w:t>e</w:t>
                  </w:r>
                </w:p>
              </w:tc>
              <w:tc>
                <w:tcPr>
                  <w:tcW w:w="0" w:type="auto"/>
                  <w:vAlign w:val="center"/>
                  <w:hideMark/>
                </w:tcPr>
                <w:p w:rsidR="00000000" w:rsidRDefault="00501E77">
                  <w:pPr>
                    <w:jc w:val="center"/>
                    <w:rPr>
                      <w:rFonts w:eastAsia="Times New Roman"/>
                    </w:rPr>
                  </w:pPr>
                  <w:r>
                    <w:rPr>
                      <w:rFonts w:eastAsia="Times New Roman"/>
                    </w:rPr>
                    <w:t>-</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r>
            <w:tr w:rsidR="00000000">
              <w:trPr>
                <w:divId w:val="2025745898"/>
                <w:cantSplit/>
                <w:tblCellSpacing w:w="15" w:type="dxa"/>
              </w:trPr>
              <w:tc>
                <w:tcPr>
                  <w:tcW w:w="0" w:type="auto"/>
                  <w:vAlign w:val="center"/>
                  <w:hideMark/>
                </w:tcPr>
                <w:p w:rsidR="00000000" w:rsidRDefault="00501E77">
                  <w:pPr>
                    <w:rPr>
                      <w:rFonts w:eastAsia="Times New Roman"/>
                    </w:rPr>
                  </w:pPr>
                  <w:r>
                    <w:rPr>
                      <w:rFonts w:eastAsia="Times New Roman"/>
                    </w:rPr>
                    <w:t>C - čiastočne</w:t>
                  </w:r>
                </w:p>
              </w:tc>
              <w:tc>
                <w:tcPr>
                  <w:tcW w:w="0" w:type="auto"/>
                  <w:vAlign w:val="center"/>
                  <w:hideMark/>
                </w:tcPr>
                <w:p w:rsidR="00000000" w:rsidRDefault="00501E77">
                  <w:pPr>
                    <w:rPr>
                      <w:rFonts w:eastAsia="Times New Roman"/>
                    </w:rPr>
                  </w:pPr>
                  <w:r>
                    <w:rPr>
                      <w:rFonts w:eastAsia="Times New Roman"/>
                    </w:rPr>
                    <w:t> </w:t>
                  </w:r>
                </w:p>
              </w:tc>
            </w:tr>
          </w:tbl>
          <w:p w:rsidR="00000000" w:rsidRDefault="00501E77">
            <w:pPr>
              <w:pStyle w:val="Normlnywebov"/>
            </w:pPr>
          </w:p>
        </w:tc>
      </w:tr>
      <w:tr w:rsidR="00000000">
        <w:trPr>
          <w:divId w:val="1592079848"/>
          <w:cantSplit/>
          <w:tblCellSpacing w:w="15" w:type="dxa"/>
        </w:trPr>
        <w:tc>
          <w:tcPr>
            <w:tcW w:w="0" w:type="auto"/>
            <w:vAlign w:val="center"/>
            <w:hideMark/>
          </w:tcPr>
          <w:p w:rsidR="00000000" w:rsidRDefault="00501E77">
            <w:pPr>
              <w:pStyle w:val="Normlnywebov"/>
            </w:pPr>
            <w:r>
              <w:rPr>
                <w:rStyle w:val="Zvraznenie"/>
              </w:rPr>
              <w:t>Ďalšie informácie</w:t>
            </w:r>
            <w:r>
              <w:t xml:space="preserve"> </w:t>
            </w:r>
            <w:r>
              <w:br/>
            </w:r>
            <w:r>
              <w:rPr>
                <w:rStyle w:val="Zvraznenie"/>
              </w:rPr>
              <w:t>(Max. 800 znakov)</w:t>
            </w:r>
          </w:p>
          <w:p w:rsidR="00000000" w:rsidRDefault="00501E77">
            <w:pPr>
              <w:pStyle w:val="Normlnywebov"/>
            </w:pPr>
            <w:r>
              <w:t>Za výhody takéhoto riešenia je možné považovať:</w:t>
            </w:r>
          </w:p>
          <w:p w:rsidR="00000000" w:rsidRDefault="00501E77">
            <w:pPr>
              <w:numPr>
                <w:ilvl w:val="0"/>
                <w:numId w:val="24"/>
              </w:numPr>
              <w:spacing w:before="100" w:beforeAutospacing="1" w:after="100" w:afterAutospacing="1"/>
              <w:rPr>
                <w:rFonts w:eastAsia="Times New Roman"/>
              </w:rPr>
            </w:pPr>
            <w:r>
              <w:rPr>
                <w:rFonts w:eastAsia="Times New Roman"/>
              </w:rPr>
              <w:t>nízku cenu</w:t>
            </w:r>
          </w:p>
          <w:p w:rsidR="00000000" w:rsidRDefault="00501E77">
            <w:pPr>
              <w:numPr>
                <w:ilvl w:val="0"/>
                <w:numId w:val="24"/>
              </w:numPr>
              <w:spacing w:before="100" w:beforeAutospacing="1" w:after="100" w:afterAutospacing="1"/>
              <w:rPr>
                <w:rFonts w:eastAsia="Times New Roman"/>
              </w:rPr>
            </w:pPr>
            <w:r>
              <w:rPr>
                <w:rFonts w:eastAsia="Times New Roman"/>
              </w:rPr>
              <w:t>centrálny manažment kvality procesu certifikácie</w:t>
            </w:r>
          </w:p>
          <w:p w:rsidR="00000000" w:rsidRDefault="00501E77">
            <w:pPr>
              <w:numPr>
                <w:ilvl w:val="0"/>
                <w:numId w:val="24"/>
              </w:numPr>
              <w:spacing w:before="100" w:beforeAutospacing="1" w:after="100" w:afterAutospacing="1"/>
              <w:rPr>
                <w:rFonts w:eastAsia="Times New Roman"/>
              </w:rPr>
            </w:pPr>
            <w:r>
              <w:rPr>
                <w:rFonts w:eastAsia="Times New Roman"/>
              </w:rPr>
              <w:t>minimalizáciu subjektívneho vplyvu na certifikáciu vďaka centrálnemu dohľadu a automatizovaným nástrojom pre testy.</w:t>
            </w:r>
          </w:p>
          <w:p w:rsidR="00000000" w:rsidRDefault="00501E77">
            <w:pPr>
              <w:pStyle w:val="Normlnywebov"/>
            </w:pPr>
            <w:r>
              <w:t>Za nevýhody takéhoto riešenia je možné považovať:</w:t>
            </w:r>
          </w:p>
          <w:p w:rsidR="00000000" w:rsidRDefault="00501E77">
            <w:pPr>
              <w:numPr>
                <w:ilvl w:val="0"/>
                <w:numId w:val="25"/>
              </w:numPr>
              <w:spacing w:before="100" w:beforeAutospacing="1" w:after="100" w:afterAutospacing="1"/>
              <w:rPr>
                <w:rFonts w:eastAsia="Times New Roman"/>
              </w:rPr>
            </w:pPr>
            <w:r>
              <w:rPr>
                <w:rFonts w:eastAsia="Times New Roman"/>
              </w:rPr>
              <w:t>neexistenciu centrálnej elektronickej evidencie certifikátov</w:t>
            </w:r>
          </w:p>
          <w:p w:rsidR="00000000" w:rsidRDefault="00501E77">
            <w:pPr>
              <w:numPr>
                <w:ilvl w:val="0"/>
                <w:numId w:val="25"/>
              </w:numPr>
              <w:spacing w:before="100" w:beforeAutospacing="1" w:after="100" w:afterAutospacing="1"/>
              <w:rPr>
                <w:rFonts w:eastAsia="Times New Roman"/>
              </w:rPr>
            </w:pPr>
            <w:r>
              <w:rPr>
                <w:rFonts w:eastAsia="Times New Roman"/>
              </w:rPr>
              <w:t>nenapĺňanie princípov „Jedenk</w:t>
            </w:r>
            <w:r>
              <w:rPr>
                <w:rFonts w:eastAsia="Times New Roman"/>
              </w:rPr>
              <w:t>rát a dosť“, „Otvorené údaje“ a „Moje dáta“</w:t>
            </w:r>
          </w:p>
          <w:p w:rsidR="00000000" w:rsidRDefault="00501E77">
            <w:pPr>
              <w:numPr>
                <w:ilvl w:val="0"/>
                <w:numId w:val="25"/>
              </w:numPr>
              <w:spacing w:before="100" w:beforeAutospacing="1" w:after="100" w:afterAutospacing="1"/>
              <w:rPr>
                <w:rFonts w:eastAsia="Times New Roman"/>
              </w:rPr>
            </w:pPr>
            <w:r>
              <w:rPr>
                <w:rFonts w:eastAsia="Times New Roman"/>
              </w:rPr>
              <w:t>závislosť prípravy na tretích stranách</w:t>
            </w:r>
          </w:p>
          <w:p w:rsidR="00000000" w:rsidRDefault="00501E77">
            <w:pPr>
              <w:numPr>
                <w:ilvl w:val="0"/>
                <w:numId w:val="25"/>
              </w:numPr>
              <w:spacing w:before="100" w:beforeAutospacing="1" w:after="100" w:afterAutospacing="1"/>
              <w:rPr>
                <w:rFonts w:eastAsia="Times New Roman"/>
              </w:rPr>
            </w:pPr>
            <w:r>
              <w:rPr>
                <w:rFonts w:eastAsia="Times New Roman"/>
              </w:rPr>
              <w:t>zvýšenú náročnosť udržiavania kvality testov (obmedzený rozsah testovacích položiek a otázok predpokladá ich veľmi rýchle „opotrebovanie“ a nevyhnutnosť zmeny resp. vynoveni</w:t>
            </w:r>
            <w:r>
              <w:rPr>
                <w:rFonts w:eastAsia="Times New Roman"/>
              </w:rPr>
              <w:t>a)</w:t>
            </w:r>
          </w:p>
          <w:p w:rsidR="00000000" w:rsidRDefault="00501E77">
            <w:pPr>
              <w:numPr>
                <w:ilvl w:val="0"/>
                <w:numId w:val="25"/>
              </w:numPr>
              <w:spacing w:before="100" w:beforeAutospacing="1" w:after="100" w:afterAutospacing="1"/>
              <w:rPr>
                <w:rFonts w:eastAsia="Times New Roman"/>
              </w:rPr>
            </w:pPr>
            <w:r>
              <w:rPr>
                <w:rFonts w:eastAsia="Times New Roman"/>
              </w:rPr>
              <w:t>možná nízka úspešnosť certifikovaných z dôvodu slabej úrovne prípravy,</w:t>
            </w:r>
          </w:p>
          <w:p w:rsidR="00000000" w:rsidRDefault="00501E77">
            <w:pPr>
              <w:numPr>
                <w:ilvl w:val="0"/>
                <w:numId w:val="25"/>
              </w:numPr>
              <w:spacing w:before="100" w:beforeAutospacing="1" w:after="100" w:afterAutospacing="1"/>
              <w:rPr>
                <w:rFonts w:eastAsia="Times New Roman"/>
              </w:rPr>
            </w:pPr>
            <w:r>
              <w:rPr>
                <w:rFonts w:eastAsia="Times New Roman"/>
              </w:rPr>
              <w:t>organizačné zabezpečenie v podobe centrálne financovanej inštitúcie s väčším počtom zamestnancov z dôvodu poloautomatizovaných procesov</w:t>
            </w:r>
          </w:p>
          <w:p w:rsidR="00000000" w:rsidRDefault="00501E77">
            <w:pPr>
              <w:numPr>
                <w:ilvl w:val="0"/>
                <w:numId w:val="25"/>
              </w:numPr>
              <w:spacing w:before="100" w:beforeAutospacing="1" w:after="100" w:afterAutospacing="1"/>
              <w:rPr>
                <w:rFonts w:eastAsia="Times New Roman"/>
              </w:rPr>
            </w:pPr>
            <w:r>
              <w:rPr>
                <w:rStyle w:val="inline-comment-marker"/>
                <w:rFonts w:eastAsia="Times New Roman"/>
              </w:rPr>
              <w:t>absenciu celoživotne platných certifikátov (di</w:t>
            </w:r>
            <w:r>
              <w:rPr>
                <w:rStyle w:val="inline-comment-marker"/>
                <w:rFonts w:eastAsia="Times New Roman"/>
              </w:rPr>
              <w:t>plomov</w:t>
            </w:r>
            <w:r>
              <w:rPr>
                <w:rStyle w:val="inline-comment-marker"/>
                <w:rFonts w:eastAsia="Times New Roman"/>
              </w:rPr>
              <w:t>)</w:t>
            </w:r>
          </w:p>
          <w:p w:rsidR="00000000" w:rsidRDefault="00501E77">
            <w:pPr>
              <w:numPr>
                <w:ilvl w:val="0"/>
                <w:numId w:val="25"/>
              </w:numPr>
              <w:spacing w:before="100" w:beforeAutospacing="1" w:after="100" w:afterAutospacing="1"/>
              <w:rPr>
                <w:rFonts w:eastAsia="Times New Roman"/>
              </w:rPr>
            </w:pPr>
            <w:r>
              <w:rPr>
                <w:rFonts w:eastAsia="Times New Roman"/>
              </w:rPr>
              <w:t>riziko kompromitácie testu z dôvodu nízkeho počtu položiek.</w:t>
            </w:r>
          </w:p>
          <w:p w:rsidR="00000000" w:rsidRDefault="00501E77">
            <w:pPr>
              <w:pStyle w:val="Normlnywebov"/>
            </w:pPr>
            <w:r>
              <w:t> </w:t>
            </w:r>
          </w:p>
        </w:tc>
      </w:tr>
      <w:tr w:rsidR="00000000">
        <w:trPr>
          <w:divId w:val="1592079848"/>
          <w:cantSplit/>
          <w:tblCellSpacing w:w="15" w:type="dxa"/>
        </w:trPr>
        <w:tc>
          <w:tcPr>
            <w:tcW w:w="0" w:type="auto"/>
            <w:vAlign w:val="center"/>
            <w:hideMark/>
          </w:tcPr>
          <w:p w:rsidR="00000000" w:rsidRDefault="00501E77">
            <w:pPr>
              <w:pStyle w:val="Normlnywebov"/>
            </w:pPr>
            <w:r>
              <w:rPr>
                <w:rStyle w:val="Zvraznenie"/>
              </w:rPr>
              <w:t>Dôvod zamietnutia, alebo výberu riešenia (Max. 400 znakov)</w:t>
            </w:r>
          </w:p>
          <w:p w:rsidR="00000000" w:rsidRDefault="00501E77">
            <w:pPr>
              <w:pStyle w:val="Normlnywebov"/>
            </w:pPr>
            <w:r>
              <w:t>Na základe vyššie uvedených výhod a nevýhod alternatívy F „Minimalistický variant systému centrálnej certifikácie úrovní digit</w:t>
            </w:r>
            <w:r>
              <w:t>álnych kompetencií “ navrhujeme nepostupovať touto alternatívou.</w:t>
            </w:r>
          </w:p>
        </w:tc>
      </w:tr>
    </w:tbl>
    <w:p w:rsidR="00000000" w:rsidRDefault="00501E77">
      <w:pPr>
        <w:pStyle w:val="Normlnywebov"/>
      </w:pPr>
      <w:r>
        <w:t>V nasledujúcej tabuľke je porovnanie alternatív podľa jednotlivých kritérií</w:t>
      </w:r>
      <w:r>
        <w:t xml:space="preserve"> </w:t>
      </w:r>
      <w:r>
        <w:rPr>
          <w:rStyle w:val="inline-comment-marker"/>
        </w:rPr>
        <w:t>(Multikriteriálna analýza)</w:t>
      </w:r>
      <w:r>
        <w:rPr>
          <w:rStyle w:val="inline-comment-marke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98712380"/>
          <w:tblCellSpacing w:w="15" w:type="dxa"/>
        </w:trPr>
        <w:tc>
          <w:tcPr>
            <w:tcW w:w="0" w:type="auto"/>
            <w:vAlign w:val="center"/>
            <w:hideMark/>
          </w:tcPr>
          <w:p w:rsidR="00000000" w:rsidRDefault="00501E77">
            <w:pPr>
              <w:jc w:val="center"/>
              <w:rPr>
                <w:rFonts w:eastAsia="Times New Roman"/>
                <w:b/>
                <w:bCs/>
              </w:rPr>
            </w:pPr>
            <w:r>
              <w:rPr>
                <w:rStyle w:val="Siln"/>
                <w:rFonts w:eastAsia="Times New Roman"/>
              </w:rPr>
              <w:t>Štát</w:t>
            </w:r>
          </w:p>
        </w:tc>
        <w:tc>
          <w:tcPr>
            <w:tcW w:w="0" w:type="auto"/>
            <w:vAlign w:val="center"/>
            <w:hideMark/>
          </w:tcPr>
          <w:p w:rsidR="00000000" w:rsidRDefault="00501E77">
            <w:pPr>
              <w:jc w:val="center"/>
              <w:rPr>
                <w:rFonts w:eastAsia="Times New Roman"/>
                <w:b/>
                <w:bCs/>
              </w:rPr>
            </w:pPr>
            <w:r>
              <w:rPr>
                <w:rFonts w:eastAsia="Times New Roman"/>
                <w:b/>
                <w:bCs/>
              </w:rPr>
              <w:t>Kritéria popisujúce možnosti pre regulačné rámce a politiku inklúzie</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Adaptabilita na nové potreby trhu práce</w:t>
            </w:r>
          </w:p>
        </w:tc>
        <w:tc>
          <w:tcPr>
            <w:tcW w:w="0" w:type="auto"/>
            <w:vAlign w:val="center"/>
            <w:hideMark/>
          </w:tcPr>
          <w:p w:rsidR="00000000" w:rsidRDefault="00501E77">
            <w:pPr>
              <w:rPr>
                <w:rFonts w:eastAsia="Times New Roman"/>
              </w:rPr>
            </w:pPr>
            <w:r>
              <w:rPr>
                <w:rFonts w:eastAsia="Times New Roman"/>
              </w:rPr>
              <w:t>Kritérium hodnotí, či je možné manažovať pripravenosť obyvateľstva (pracovnej sily) na meniace sa podmienky a požiadavky trhu práce</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Využívanie služieb eGovernment</w:t>
            </w:r>
          </w:p>
        </w:tc>
        <w:tc>
          <w:tcPr>
            <w:tcW w:w="0" w:type="auto"/>
            <w:vAlign w:val="center"/>
            <w:hideMark/>
          </w:tcPr>
          <w:p w:rsidR="00000000" w:rsidRDefault="00501E77">
            <w:pPr>
              <w:rPr>
                <w:rFonts w:eastAsia="Times New Roman"/>
              </w:rPr>
            </w:pPr>
            <w:r>
              <w:rPr>
                <w:rFonts w:eastAsia="Times New Roman"/>
              </w:rPr>
              <w:t>Kritérium hodnotí, či sa zvýši schopnosť znevýhodnených jednotlivcov využívať eGovernment služby</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Využívanie dotačných schém pre mobilitu občanov (napr. Erasmus)</w:t>
            </w:r>
          </w:p>
        </w:tc>
        <w:tc>
          <w:tcPr>
            <w:tcW w:w="0" w:type="auto"/>
            <w:vAlign w:val="center"/>
            <w:hideMark/>
          </w:tcPr>
          <w:p w:rsidR="00000000" w:rsidRDefault="00501E77">
            <w:pPr>
              <w:rPr>
                <w:rFonts w:eastAsia="Times New Roman"/>
              </w:rPr>
            </w:pPr>
            <w:r>
              <w:rPr>
                <w:rFonts w:eastAsia="Times New Roman"/>
              </w:rPr>
              <w:t>Kritérium hodnotí možnosť plánovania zdrov a argumentácie pri žiadostich o alokáciu zdrojov pr</w:t>
            </w:r>
            <w:r>
              <w:rPr>
                <w:rFonts w:eastAsia="Times New Roman"/>
              </w:rPr>
              <w:t>e mobilitu</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Zníženie počtu certifikátov</w:t>
            </w:r>
          </w:p>
        </w:tc>
        <w:tc>
          <w:tcPr>
            <w:tcW w:w="0" w:type="auto"/>
            <w:vAlign w:val="center"/>
            <w:hideMark/>
          </w:tcPr>
          <w:p w:rsidR="00000000" w:rsidRDefault="00501E77">
            <w:pPr>
              <w:rPr>
                <w:rFonts w:eastAsia="Times New Roman"/>
              </w:rPr>
            </w:pPr>
            <w:r>
              <w:rPr>
                <w:rFonts w:eastAsia="Times New Roman"/>
              </w:rPr>
              <w:t>Kritérium hodnotí možnosť náhrady váčieho počtu certifikátov, oprávnení a potvrdení v oblasti IKT štandardizovanými certifikátmi a diplomami</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Centrálny dohľad</w:t>
            </w:r>
          </w:p>
        </w:tc>
        <w:tc>
          <w:tcPr>
            <w:tcW w:w="0" w:type="auto"/>
            <w:vAlign w:val="center"/>
            <w:hideMark/>
          </w:tcPr>
          <w:p w:rsidR="00000000" w:rsidRDefault="00501E77">
            <w:pPr>
              <w:rPr>
                <w:rFonts w:eastAsia="Times New Roman"/>
              </w:rPr>
            </w:pPr>
            <w:r>
              <w:rPr>
                <w:rFonts w:eastAsia="Times New Roman"/>
              </w:rPr>
              <w:t>Kritérium hodnotí, či je možný centrálny dohľad nad kvali</w:t>
            </w:r>
            <w:r>
              <w:rPr>
                <w:rFonts w:eastAsia="Times New Roman"/>
              </w:rPr>
              <w:t>tou certifikácie</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Potenciál rozšírenia do iných krajín</w:t>
            </w:r>
          </w:p>
        </w:tc>
        <w:tc>
          <w:tcPr>
            <w:tcW w:w="0" w:type="auto"/>
            <w:vAlign w:val="center"/>
            <w:hideMark/>
          </w:tcPr>
          <w:p w:rsidR="00000000" w:rsidRDefault="00501E77">
            <w:pPr>
              <w:rPr>
                <w:rFonts w:eastAsia="Times New Roman"/>
              </w:rPr>
            </w:pPr>
            <w:r>
              <w:rPr>
                <w:rFonts w:eastAsia="Times New Roman"/>
              </w:rPr>
              <w:t>Kritérium hodnotí potenciál rozšírenia systému certifikácie digitálnych kompetencií do iných krajín</w:t>
            </w:r>
            <w:r>
              <w:rPr>
                <w:rFonts w:eastAsia="Times New Roman"/>
              </w:rPr>
              <w:t xml:space="preserve"> </w:t>
            </w:r>
            <w:r>
              <w:rPr>
                <w:rStyle w:val="inline-comment-marker"/>
                <w:rFonts w:eastAsia="Times New Roman"/>
              </w:rPr>
              <w:t>EH</w:t>
            </w:r>
            <w:r>
              <w:rPr>
                <w:rStyle w:val="inline-comment-marker"/>
                <w:rFonts w:eastAsia="Times New Roman"/>
              </w:rPr>
              <w:t>P</w:t>
            </w:r>
            <w:r>
              <w:rPr>
                <w:rFonts w:eastAsia="Times New Roman"/>
              </w:rPr>
              <w:t>, resp. osvojenie si systému ako štandardu pre EHP</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Možnosť rozšírenia na iné oblasti certifikácie</w:t>
            </w:r>
          </w:p>
        </w:tc>
        <w:tc>
          <w:tcPr>
            <w:tcW w:w="0" w:type="auto"/>
            <w:vAlign w:val="center"/>
            <w:hideMark/>
          </w:tcPr>
          <w:p w:rsidR="00000000" w:rsidRDefault="00501E77">
            <w:pPr>
              <w:rPr>
                <w:rFonts w:eastAsia="Times New Roman"/>
              </w:rPr>
            </w:pPr>
            <w:r>
              <w:rPr>
                <w:rFonts w:eastAsia="Times New Roman"/>
              </w:rPr>
              <w:t>Kritérium hodnotí, či riešenie poskytuje techologickú a systémovú otvorenosť pre rozšírenie systému pre iné typy certifikátov</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Nové ekonomické príležitosti</w:t>
            </w:r>
          </w:p>
        </w:tc>
        <w:tc>
          <w:tcPr>
            <w:tcW w:w="0" w:type="auto"/>
            <w:vAlign w:val="center"/>
            <w:hideMark/>
          </w:tcPr>
          <w:p w:rsidR="00000000" w:rsidRDefault="00501E77">
            <w:pPr>
              <w:rPr>
                <w:rFonts w:eastAsia="Times New Roman"/>
              </w:rPr>
            </w:pPr>
            <w:r>
              <w:rPr>
                <w:rFonts w:eastAsia="Times New Roman"/>
              </w:rPr>
              <w:t>Kritérium hodnotí, či riešenie vytvára nové ekonomické príležitosti, súvisiace s certifikáciou a pr</w:t>
            </w:r>
            <w:r>
              <w:rPr>
                <w:rFonts w:eastAsia="Times New Roman"/>
              </w:rPr>
              <w:t>ípravou na ňu</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Možnosť ovplyvňovania fokusu na cieľové skupiny</w:t>
            </w:r>
          </w:p>
        </w:tc>
        <w:tc>
          <w:tcPr>
            <w:tcW w:w="0" w:type="auto"/>
            <w:vAlign w:val="center"/>
            <w:hideMark/>
          </w:tcPr>
          <w:p w:rsidR="00000000" w:rsidRDefault="00501E77">
            <w:pPr>
              <w:rPr>
                <w:rFonts w:eastAsia="Times New Roman"/>
              </w:rPr>
            </w:pPr>
            <w:r>
              <w:rPr>
                <w:rFonts w:eastAsia="Times New Roman"/>
              </w:rPr>
              <w:t>Kritérium hodnotí, či riešenie zavedie možnosť ovplyvňovania úrovne a dosahovania kompetencií u znevýhodnených skupín</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Miera automatizácie procesov</w:t>
            </w:r>
          </w:p>
        </w:tc>
        <w:tc>
          <w:tcPr>
            <w:tcW w:w="0" w:type="auto"/>
            <w:vAlign w:val="center"/>
            <w:hideMark/>
          </w:tcPr>
          <w:p w:rsidR="00000000" w:rsidRDefault="00501E77">
            <w:pPr>
              <w:rPr>
                <w:rFonts w:eastAsia="Times New Roman"/>
              </w:rPr>
            </w:pPr>
            <w:r>
              <w:rPr>
                <w:rFonts w:eastAsia="Times New Roman"/>
              </w:rPr>
              <w:t>Kritérium  hodnotí automatizáciu a bezzásahov</w:t>
            </w:r>
            <w:r>
              <w:rPr>
                <w:rFonts w:eastAsia="Times New Roman"/>
              </w:rPr>
              <w:t>osť procesov sledujúc minimalizáciu potrebných obslužných činností zamestnancami</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Dostupnosť údajov pre analýzy</w:t>
            </w:r>
          </w:p>
        </w:tc>
        <w:tc>
          <w:tcPr>
            <w:tcW w:w="0" w:type="auto"/>
            <w:vAlign w:val="center"/>
            <w:hideMark/>
          </w:tcPr>
          <w:p w:rsidR="00000000" w:rsidRDefault="00501E77">
            <w:pPr>
              <w:rPr>
                <w:rFonts w:eastAsia="Times New Roman"/>
              </w:rPr>
            </w:pPr>
            <w:r>
              <w:rPr>
                <w:rFonts w:eastAsia="Times New Roman"/>
              </w:rPr>
              <w:t>Kritérium hodnotí, či budú dostupné údaje pre analýzy o úrovni sledovaných skupín, využívaní nástrojov prípravy, úspešnosti certifikácie a podob</w:t>
            </w:r>
            <w:r>
              <w:rPr>
                <w:rFonts w:eastAsia="Times New Roman"/>
              </w:rPr>
              <w:t>ne</w:t>
            </w:r>
          </w:p>
        </w:tc>
      </w:tr>
      <w:tr w:rsidR="00000000">
        <w:trPr>
          <w:divId w:val="198712380"/>
          <w:tblCellSpacing w:w="15" w:type="dxa"/>
        </w:trPr>
        <w:tc>
          <w:tcPr>
            <w:tcW w:w="0" w:type="auto"/>
            <w:vAlign w:val="center"/>
            <w:hideMark/>
          </w:tcPr>
          <w:p w:rsidR="00000000" w:rsidRDefault="00501E77">
            <w:pPr>
              <w:jc w:val="center"/>
              <w:rPr>
                <w:rFonts w:eastAsia="Times New Roman"/>
                <w:b/>
                <w:bCs/>
              </w:rPr>
            </w:pPr>
            <w:r>
              <w:rPr>
                <w:rStyle w:val="Siln"/>
                <w:rFonts w:eastAsia="Times New Roman"/>
              </w:rPr>
              <w:t>Projekt</w:t>
            </w:r>
          </w:p>
        </w:tc>
        <w:tc>
          <w:tcPr>
            <w:tcW w:w="0" w:type="auto"/>
            <w:vAlign w:val="center"/>
            <w:hideMark/>
          </w:tcPr>
          <w:p w:rsidR="00000000" w:rsidRDefault="00501E77">
            <w:pPr>
              <w:jc w:val="center"/>
              <w:rPr>
                <w:rFonts w:eastAsia="Times New Roman"/>
                <w:b/>
                <w:bCs/>
              </w:rPr>
            </w:pPr>
            <w:r>
              <w:rPr>
                <w:rFonts w:eastAsia="Times New Roman"/>
                <w:b/>
                <w:bCs/>
              </w:rPr>
              <w:t>Kritériá pre úspešnosť projektu</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Medzimodulová integrácia</w:t>
            </w:r>
          </w:p>
        </w:tc>
        <w:tc>
          <w:tcPr>
            <w:tcW w:w="0" w:type="auto"/>
            <w:vAlign w:val="center"/>
            <w:hideMark/>
          </w:tcPr>
          <w:p w:rsidR="00000000" w:rsidRDefault="00501E77">
            <w:pPr>
              <w:rPr>
                <w:rFonts w:eastAsia="Times New Roman"/>
              </w:rPr>
            </w:pPr>
            <w:r>
              <w:rPr>
                <w:rFonts w:eastAsia="Times New Roman"/>
              </w:rPr>
              <w:t>Kritérium hodnotí vzájomnú integráciu modulov pre zníženie ich vzájomnej závislosti (minimalizácia sinle point of failure)</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Stabilita a perspektíva platformy</w:t>
            </w:r>
          </w:p>
        </w:tc>
        <w:tc>
          <w:tcPr>
            <w:tcW w:w="0" w:type="auto"/>
            <w:vAlign w:val="center"/>
            <w:hideMark/>
          </w:tcPr>
          <w:p w:rsidR="00000000" w:rsidRDefault="00501E77">
            <w:pPr>
              <w:rPr>
                <w:rFonts w:eastAsia="Times New Roman"/>
              </w:rPr>
            </w:pPr>
            <w:r>
              <w:rPr>
                <w:rFonts w:eastAsia="Times New Roman"/>
              </w:rPr>
              <w:t>Kritérium hodnotí udržateľno</w:t>
            </w:r>
            <w:r>
              <w:rPr>
                <w:rFonts w:eastAsia="Times New Roman"/>
              </w:rPr>
              <w:t>sť a rozvoj systému z pohľadu dlhodobej perpektívy a stability</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Integrovateľnosť externých zdrojov</w:t>
            </w:r>
          </w:p>
        </w:tc>
        <w:tc>
          <w:tcPr>
            <w:tcW w:w="0" w:type="auto"/>
            <w:vAlign w:val="center"/>
            <w:hideMark/>
          </w:tcPr>
          <w:p w:rsidR="00000000" w:rsidRDefault="00501E77">
            <w:pPr>
              <w:rPr>
                <w:rFonts w:eastAsia="Times New Roman"/>
              </w:rPr>
            </w:pPr>
            <w:r>
              <w:rPr>
                <w:rFonts w:eastAsia="Times New Roman"/>
              </w:rPr>
              <w:t>Kritérium hodnotí otvorenosť systému pre využitie existujúceho vzdelanostného obsahu a obsahu pre zvyšovanie zručností ako submodulov pre nástroje prípravy</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Otvorenosť a poskytovanie údajov z registrov</w:t>
            </w:r>
          </w:p>
        </w:tc>
        <w:tc>
          <w:tcPr>
            <w:tcW w:w="0" w:type="auto"/>
            <w:vAlign w:val="center"/>
            <w:hideMark/>
          </w:tcPr>
          <w:p w:rsidR="00000000" w:rsidRDefault="00501E77">
            <w:pPr>
              <w:rPr>
                <w:rFonts w:eastAsia="Times New Roman"/>
              </w:rPr>
            </w:pPr>
            <w:r>
              <w:rPr>
                <w:rFonts w:eastAsia="Times New Roman"/>
              </w:rPr>
              <w:t>Kritérium hodnotí, či riešenie bude umožňovať poskytovanie údajov z registrov v zmysle "Jedenkrát a dosť" a "moje údaje" pri dodržaní oprávnenosti prístupu a ochrany osobných údajov</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Nízke riziko vendor-lock-in</w:t>
            </w:r>
          </w:p>
        </w:tc>
        <w:tc>
          <w:tcPr>
            <w:tcW w:w="0" w:type="auto"/>
            <w:vAlign w:val="center"/>
            <w:hideMark/>
          </w:tcPr>
          <w:p w:rsidR="00000000" w:rsidRDefault="00501E77">
            <w:pPr>
              <w:rPr>
                <w:rFonts w:eastAsia="Times New Roman"/>
              </w:rPr>
            </w:pPr>
            <w:r>
              <w:rPr>
                <w:rFonts w:eastAsia="Times New Roman"/>
              </w:rPr>
              <w:t>Kritérium hodnotí, či riešenie má nízke riziko ovplyvnenia úspešnosti projektu tretími stranami (dodávateľmi prípravy a certifikácií)</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Úspora nákladov na prevádzku</w:t>
            </w:r>
          </w:p>
        </w:tc>
        <w:tc>
          <w:tcPr>
            <w:tcW w:w="0" w:type="auto"/>
            <w:vAlign w:val="center"/>
            <w:hideMark/>
          </w:tcPr>
          <w:p w:rsidR="00000000" w:rsidRDefault="00501E77">
            <w:pPr>
              <w:rPr>
                <w:rFonts w:eastAsia="Times New Roman"/>
              </w:rPr>
            </w:pPr>
            <w:r>
              <w:rPr>
                <w:rFonts w:eastAsia="Times New Roman"/>
              </w:rPr>
              <w:t>Kritérium hodnotí možnosť úspory nákladov na prevádzku outsourcingom činností</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Realizovateľn</w:t>
            </w:r>
            <w:r>
              <w:rPr>
                <w:rFonts w:eastAsia="Times New Roman"/>
              </w:rPr>
              <w:t>osť a udržateľnosť implementácie celkového riešenia</w:t>
            </w:r>
          </w:p>
        </w:tc>
        <w:tc>
          <w:tcPr>
            <w:tcW w:w="0" w:type="auto"/>
            <w:vAlign w:val="center"/>
            <w:hideMark/>
          </w:tcPr>
          <w:p w:rsidR="00000000" w:rsidRDefault="00501E77">
            <w:pPr>
              <w:rPr>
                <w:rFonts w:eastAsia="Times New Roman"/>
              </w:rPr>
            </w:pPr>
            <w:r>
              <w:rPr>
                <w:rFonts w:eastAsia="Times New Roman"/>
              </w:rPr>
              <w:t>Kritérium hodnotí realizovateľnosť a udržateľnosť implementácie celkového riešenia počas sledovaného obdobia</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Udržateľnosť skúseností v implementačnom tíme</w:t>
            </w:r>
          </w:p>
        </w:tc>
        <w:tc>
          <w:tcPr>
            <w:tcW w:w="0" w:type="auto"/>
            <w:vAlign w:val="center"/>
            <w:hideMark/>
          </w:tcPr>
          <w:p w:rsidR="00000000" w:rsidRDefault="00501E77">
            <w:pPr>
              <w:rPr>
                <w:rFonts w:eastAsia="Times New Roman"/>
              </w:rPr>
            </w:pPr>
            <w:r>
              <w:rPr>
                <w:rFonts w:eastAsia="Times New Roman"/>
              </w:rPr>
              <w:t>Kritérium hodnotí udržateľnosť skúseností a know</w:t>
            </w:r>
            <w:r>
              <w:rPr>
                <w:rFonts w:eastAsia="Times New Roman"/>
              </w:rPr>
              <w:t>-how tímu po ukončení projektu ako aj počas realizácie projektu</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Mobilizácia vedeckého a odborného potenciálu</w:t>
            </w:r>
          </w:p>
        </w:tc>
        <w:tc>
          <w:tcPr>
            <w:tcW w:w="0" w:type="auto"/>
            <w:vAlign w:val="center"/>
            <w:hideMark/>
          </w:tcPr>
          <w:p w:rsidR="00000000" w:rsidRDefault="00501E77">
            <w:pPr>
              <w:rPr>
                <w:rFonts w:eastAsia="Times New Roman"/>
              </w:rPr>
            </w:pPr>
            <w:r>
              <w:rPr>
                <w:rFonts w:eastAsia="Times New Roman"/>
              </w:rPr>
              <w:t>Kritérium hodnotí schopnosť mobilizácie vedeckého a odborného potenciálu pre potreby projektu</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Využitie údajov a stavebných blokov IIS VS</w:t>
            </w:r>
          </w:p>
        </w:tc>
        <w:tc>
          <w:tcPr>
            <w:tcW w:w="0" w:type="auto"/>
            <w:vAlign w:val="center"/>
            <w:hideMark/>
          </w:tcPr>
          <w:p w:rsidR="00000000" w:rsidRDefault="00501E77">
            <w:pPr>
              <w:rPr>
                <w:rFonts w:eastAsia="Times New Roman"/>
              </w:rPr>
            </w:pPr>
            <w:r>
              <w:rPr>
                <w:rFonts w:eastAsia="Times New Roman"/>
              </w:rPr>
              <w:t>Kritériu</w:t>
            </w:r>
            <w:r>
              <w:rPr>
                <w:rFonts w:eastAsia="Times New Roman"/>
              </w:rPr>
              <w:t>m hodnotí využitie integrovaného IS verejnej správy</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Efektivita riadenia implementačného tímu </w:t>
            </w:r>
          </w:p>
        </w:tc>
        <w:tc>
          <w:tcPr>
            <w:tcW w:w="0" w:type="auto"/>
            <w:vAlign w:val="center"/>
            <w:hideMark/>
          </w:tcPr>
          <w:p w:rsidR="00000000" w:rsidRDefault="00501E77">
            <w:pPr>
              <w:rPr>
                <w:rFonts w:eastAsia="Times New Roman"/>
              </w:rPr>
            </w:pPr>
            <w:r>
              <w:rPr>
                <w:rFonts w:eastAsia="Times New Roman"/>
              </w:rPr>
              <w:t>Kritérium hodnotí, či je predpoklad efektivity riadenia implementačného tímu</w:t>
            </w:r>
          </w:p>
        </w:tc>
      </w:tr>
      <w:tr w:rsidR="00000000">
        <w:trPr>
          <w:divId w:val="198712380"/>
          <w:tblCellSpacing w:w="15" w:type="dxa"/>
        </w:trPr>
        <w:tc>
          <w:tcPr>
            <w:tcW w:w="0" w:type="auto"/>
            <w:vAlign w:val="center"/>
            <w:hideMark/>
          </w:tcPr>
          <w:p w:rsidR="00000000" w:rsidRDefault="00501E77">
            <w:pPr>
              <w:jc w:val="center"/>
              <w:rPr>
                <w:rFonts w:eastAsia="Times New Roman"/>
                <w:b/>
                <w:bCs/>
              </w:rPr>
            </w:pPr>
            <w:r>
              <w:rPr>
                <w:rStyle w:val="Siln"/>
                <w:rFonts w:eastAsia="Times New Roman"/>
              </w:rPr>
              <w:t>Náklady</w:t>
            </w:r>
          </w:p>
        </w:tc>
        <w:tc>
          <w:tcPr>
            <w:tcW w:w="0" w:type="auto"/>
            <w:vAlign w:val="center"/>
            <w:hideMark/>
          </w:tcPr>
          <w:p w:rsidR="00000000" w:rsidRDefault="00501E77">
            <w:pPr>
              <w:jc w:val="center"/>
              <w:rPr>
                <w:rFonts w:eastAsia="Times New Roman"/>
                <w:b/>
                <w:bCs/>
              </w:rPr>
            </w:pPr>
            <w:r>
              <w:rPr>
                <w:rFonts w:eastAsia="Times New Roman"/>
                <w:b/>
                <w:bCs/>
              </w:rPr>
              <w:t>Kritériá z pohľadu nákladov na riešenie</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Financovanie cez OPII</w:t>
            </w:r>
          </w:p>
        </w:tc>
        <w:tc>
          <w:tcPr>
            <w:tcW w:w="0" w:type="auto"/>
            <w:vAlign w:val="center"/>
            <w:hideMark/>
          </w:tcPr>
          <w:p w:rsidR="00000000" w:rsidRDefault="00501E77">
            <w:pPr>
              <w:rPr>
                <w:rFonts w:eastAsia="Times New Roman"/>
              </w:rPr>
            </w:pPr>
            <w:r>
              <w:rPr>
                <w:rFonts w:eastAsia="Times New Roman"/>
              </w:rPr>
              <w:t>Kritérium hodnotí, či je možnosť financovania z prostriedkov OPII</w:t>
            </w:r>
          </w:p>
        </w:tc>
      </w:tr>
      <w:tr w:rsidR="00000000">
        <w:trPr>
          <w:divId w:val="198712380"/>
          <w:cantSplit/>
          <w:tblCellSpacing w:w="15" w:type="dxa"/>
        </w:trPr>
        <w:tc>
          <w:tcPr>
            <w:tcW w:w="0" w:type="auto"/>
            <w:vAlign w:val="center"/>
            <w:hideMark/>
          </w:tcPr>
          <w:p w:rsidR="00000000" w:rsidRDefault="00501E77">
            <w:pPr>
              <w:rPr>
                <w:rFonts w:eastAsia="Times New Roman"/>
              </w:rPr>
            </w:pPr>
            <w:r>
              <w:rPr>
                <w:rFonts w:eastAsia="Times New Roman"/>
              </w:rPr>
              <w:t>Rozloženie nákladov agilným nasadzovaním</w:t>
            </w:r>
          </w:p>
        </w:tc>
        <w:tc>
          <w:tcPr>
            <w:tcW w:w="0" w:type="auto"/>
            <w:vAlign w:val="center"/>
            <w:hideMark/>
          </w:tcPr>
          <w:p w:rsidR="00000000" w:rsidRDefault="00501E77">
            <w:pPr>
              <w:rPr>
                <w:rFonts w:eastAsia="Times New Roman"/>
              </w:rPr>
            </w:pPr>
            <w:r>
              <w:rPr>
                <w:rFonts w:eastAsia="Times New Roman"/>
              </w:rPr>
              <w:t>Kritérium hodnotí, či je možnosť rozloženia nákladov na postupné kroky dodávané agilným spôsobom</w:t>
            </w:r>
          </w:p>
        </w:tc>
      </w:tr>
    </w:tbl>
    <w:p w:rsidR="00000000" w:rsidRDefault="00501E77">
      <w:pPr>
        <w:pStyle w:val="Normlnywebov"/>
      </w:pPr>
      <w:r>
        <w:t> </w:t>
      </w:r>
    </w:p>
    <w:p w:rsidR="00000000" w:rsidRDefault="00501E77">
      <w:pPr>
        <w:pStyle w:val="Nadpis4"/>
        <w:rPr>
          <w:rFonts w:eastAsia="Times New Roman"/>
        </w:rPr>
      </w:pPr>
      <w:r>
        <w:rPr>
          <w:rFonts w:eastAsia="Times New Roman"/>
        </w:rPr>
        <w:t>Vyhodnotenie multikriteriálnej analýzy:</w:t>
      </w:r>
    </w:p>
    <w:p w:rsidR="00000000" w:rsidRDefault="00501E77">
      <w:pPr>
        <w:pStyle w:val="Normlnywebov"/>
      </w:pPr>
      <w:r>
        <w:t> </w:t>
      </w:r>
    </w:p>
    <w:tbl>
      <w:tblPr>
        <w:tblW w:w="0" w:type="auto"/>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80"/>
        <w:gridCol w:w="480"/>
        <w:gridCol w:w="480"/>
        <w:gridCol w:w="480"/>
        <w:gridCol w:w="480"/>
        <w:gridCol w:w="480"/>
      </w:tblGrid>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Zvraznenie"/>
                <w:b/>
                <w:bCs/>
              </w:rPr>
              <w:t xml:space="preserve">Popis </w:t>
            </w:r>
            <w:r>
              <w:rPr>
                <w:rStyle w:val="Zvraznenie"/>
                <w:b/>
                <w:bCs/>
              </w:rPr>
              <w:t>oblasti analýzy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Alternatíva B</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Alternatíva C</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Alternatíva D</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Alternatíva 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Alternatíva F</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Zvraznenie"/>
                <w:b/>
                <w:bCs/>
              </w:rPr>
              <w:t>Používateľ</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Plán rozvoja kompetencií</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špecializované firmy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iba info o predpokladanej úrovni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iba info o predpokladanej úrovni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Závislé na tom, či budú na Slovensku špecializované firmy, ktoré budú[ ponúkať takéto služby (platené)</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Plán rozvoja uvádza iba iba info o predpokladanej a dosiahnuteľnej úrovni s linkami na možnosti vzdelania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Plnohodnotný plán rozvoja (automatizovaný zadar</w:t>
            </w:r>
            <w:r>
              <w:t>mo)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Plán rozvoja uvádza iba iba info o predpokladanej a dosiahnuteľnej úrovni s linkami na možnosti vzdelania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Alternatíva nepredpokladá vybudovanie príslušného modulu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Príprava na certifikáciu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tretie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tretie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zadarmo online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tretie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tretie strany</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v podobe bezplatných online kurzov (MOOC)</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Uniformné používateľské rozhranie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v podobe bezplatných online kurzov (MOOC)</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Personalizácia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Personalizácia len na úrovni povinnej registrácie v zmysle silnej ochrany osobných údajov (GDPR)</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Výmena údajov MojeData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Výmena údajov MojeData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Čistenie údajov na základe referenčných údajov z RFO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xml:space="preserve">Ukladanie údajov nie je v scope </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Jedenkrát a dosť</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w:t>
            </w:r>
            <w:r>
              <w:t>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Prístup do registra certifikátov pre OVM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Prístup do registra certifikátov pre OVM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Prístup do registra certifikátov pre OVM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Prístup do registra certifikátov pre OVM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Alternatíva nepredpokladá vybudovanie príslušného modulu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Mobilita na základe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Kvalita certifikácií (dôveryhodnosť)</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závislé na dôveryhodnosti tretích strán</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závislé na dôveryhodnosti cerifikačných centier a náročnosti akreditačného procesu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garantované certifikáty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garantované certifikáty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garantované certifikáty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garantované certifikáty</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Doživotné certifikáty (diplomy)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Certifikáty s obmedzenou časovou platnosťou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Celoživotné diplomy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xml:space="preserve">Celoživotné </w:t>
            </w:r>
            <w:r>
              <w:t>diplomy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Certifikáty s obmedzenou časovou platnosťou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Certifikáty s obmedzenou časovou platnosťou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 xml:space="preserve">Dostupnosť pre cieľové skupiny </w:t>
            </w: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Vzdelanie za poplatok, certifikácia za poplatok, môže byť pre niektoré skupiny vyobstaraná štátom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Vzdelanie za poplatok, certifikácia za poplatok, prevádzkové náklady môžu byť pre niektoré skupiny pokryté štátom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Vzdelanie zadarmo, certifikácia za poplatok,</w:t>
            </w:r>
            <w:r>
              <w:t xml:space="preserve"> prevádzkové náklady môžu byť pre niektoré skupiny pokryté štátom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Vzdelanie za poplatok, certifikácia za poplatok, prevádzkové náklady môžu byť pre niektoré skupiny pokryté štátom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Vzdelanie za poplatok, certifikácia za poplatok, prevádzkové náklady môžu by</w:t>
            </w:r>
            <w:r>
              <w:t>ť pre niektoré skupiny pokryté štátom</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Zvraznenie"/>
                <w:b/>
                <w:bCs/>
              </w:rPr>
              <w:t>Štát</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Adaptabilita na nové potreby trhu práce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Určovaná dopytom, latencia voči potrebám trhu (reaktívne)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Určovaná politikou štátu, možnosť proaktívneho ovplyvňovania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Určovaná politikou štátu, možnosť proaktívneho ovplyvňovania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Určovaná politikou štátu, možnosť proaktívneho ovplyvňovania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Určovaná politikou štátu, možnosť proaktívneho ovplyvňovania</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Vzdelanie p</w:t>
            </w:r>
            <w:r>
              <w:rPr>
                <w:rStyle w:val="Zvraznenie"/>
              </w:rPr>
              <w:t>re využívanie služieb eGovernment</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v podobe bezplatných online kurzov (MOOC)</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Zníženie počtu certifikátov (KO)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Centrálny dohľad (KO)</w:t>
            </w: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Potenciál rozšírenia do iných krajín</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Komerčné rozšírenie poskytovateľmi ponukou na trhu iných štátov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Možnosť presadenia riešenia ako pilotného v </w:t>
            </w:r>
            <w:r>
              <w:t>rámci medzinárodných štruktúr (Rada Európy, EÚ)</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Možnosť presadenia riešenia ako pilotného v rámci medzinárodných štruktúr (Rada Európy, EÚ)</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Možnosť presadenia riešenia ako pilotného v rámci medzinárodných štruktúr (Rada Európy, EÚ)</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Možnosť presadenia rieše</w:t>
            </w:r>
            <w:r>
              <w:t>nia ako pilotného v rámci medzinárodných štruktúr (Rada Európy, EÚ)</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Možnosť rozšírenia na iné oblasti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Spoločný komponent register certifikátov je využiteľný aj pre iné certifikáty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Spoločný komponent register certifikátov ako aj spoločný komponent certifikácie sú využiteľné aj pre iné certifikáty a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Komponent poskytovania vzdelávacieho obsahu, spoločný komponent register certifikátov ako aj spoločný komponent certifikácie</w:t>
            </w:r>
            <w:r>
              <w:t xml:space="preserve"> sú využiteľné aj pre iné certifikáty a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Spoločný komponent register certifikátov ako aj spoločný komponent certifikácie sú využiteľné aj pre iné certifikáty a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Riešenie neobsahuje spoločné komponenty</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Nové ekonomické príležitosti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a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a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a certifikácie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kurzy a certifikácie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Riešenie je postavené na podnikateľskej činnosti (s výnimkou vedenia registra)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Motivácia pre podnikanie v oblasti prípravy, podnikateľská činnosť akreditova</w:t>
            </w:r>
            <w:r>
              <w:t>ných certifikačných partnerov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Obmedzenie podnikania v oblasti prípravy, podnikateľská činnosť akreditovaných certifikačných partnerov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Motivácia pre podnikanie v oblasti prípravy, podnikateľská činnosť akreditovaných certifikačných partnerov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Motivácia pre p</w:t>
            </w:r>
            <w:r>
              <w:t>odnikanie v oblasti prípravy, podnikateľská činnosť akreditovaných certifikačných partnerov</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Miera automatizácie procesov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nízka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vysoká</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vysoká</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vysoká</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nízka</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Závislá na možnostiach a investičných schopnostiach tretích strán</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 súlade s NKIVS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 súlade s NKIVS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 súlade s NKIVS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Riešenie neobsahuje komponenty pre automatizáciu procesov</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Dostupné údaje pre analýzy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certifikáty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certifikáty a čiastočne úroveň zo vstupného testu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certifikáty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Údaje dostupné z registra certifikátov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Údaje dostup</w:t>
            </w:r>
            <w:r>
              <w:t>né z registra certifikátov a štatistické anonymizované údaje z jednotlivých testov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Údaje dostupné z registra certifikátov a štatistické anonymizované údaje z jednotlivých testov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Údaje dostupné z registra certifikátov a štatistické anonymizované údaje z </w:t>
            </w:r>
            <w:r>
              <w:t>jednotlivých testov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Štatistické anonymizované údaje z jednotlivých testov</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Zvraznenie"/>
                <w:b/>
                <w:bCs/>
              </w:rPr>
              <w:t>Projekt</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Medzimodulová integrácia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 moduly certifikačných centier mimo vplyvu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(okrem registra) nie sú 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sú navrhnuté pre medzimodul</w:t>
            </w:r>
            <w:r>
              <w:t>ovú integráciu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sú navrhnuté pre medzimodulovú integráciu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sú navrhnuté pre medzimodulovú integráciu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Riešenie má iba jeden modul</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Stabilita a perspektíva platformy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rozšíriteľná aj pre iné oblasti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rozšíriteľná aj pre iné oblasti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rozšíriteľná aj pre iné oblasti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Riešia si to tretie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riešenia sú stavané ako centrálne komponenty IIS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riešenia sú stavané ako centrálne komponenty IIS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riešenia sú stavané ako centrálne komponenty IIS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 riešeni</w:t>
            </w:r>
            <w:r>
              <w:t>a je stavaný ako centrálny komponent IIS VS</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Integrovateľnosť externých zdrojov pre vzdelávanie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v podobe bezplatných online kurzov (MOOC)</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Vzdelávanie nie je súčasťou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Otvorenosť a poskytovanie údajov z registrov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Register certifikátov je navrhnutý v súlade s príslušnou stratégiou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Register certifikátov je navrhnutý v súlade s príslušnou stratégiou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xml:space="preserve">Register certifikátov </w:t>
            </w:r>
            <w:r>
              <w:t>je navrhnutý v súlade s príslušnou stratégiou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Register certifikátov je navrhnutý v súlade s príslušnou stratégiou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Alternatíva nepredpokladá vybudovanie príslušného modulu</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Nízke riziko vendor-lock-in (KO)</w:t>
            </w: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Úplne závislé na tretích stranách</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vlastnené riešenie a kódy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vlastnené riešenie a kódy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vlastnené riešenie a kódy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Štátom vlastnené riešenie a kódy</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Úspora nákladov na prevádzku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Náklady znáša tretia stra</w:t>
            </w:r>
            <w:r>
              <w:t>na, avšak zvyšuje sa tým finančné zaťaženie občanov (výrazne vyššie poplatky za certifikáciu)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Náklady na prevádzku by mali pokryť poplatky za certifikáciu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Náklady na prevádzku a obnovu obsahu vzdelávania plne hradené štátom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Náklady na prevádzku by mali pok</w:t>
            </w:r>
            <w:r>
              <w:t>ryť poplatky za certifikáciu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Vysoké náklady spojené s nedostatočnou automatizáciou činností a procesov</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Realizovateľnosť a udržateľnosť implementácie celkového riešenia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závislá na tretích stranách</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 závislá na tretích stranách</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Bez vplyvu štátu, plne na obchodnom rozhodnutí tretej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 plným vplyvom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 plným vplyvom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 plným vplyvom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Pri zvýšenom záujme o certifikáciu potreba outsourcovania administrácie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Udržateľnosť skúseností v implementačnom tíme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w:t>
            </w:r>
            <w:r>
              <w:t>točne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Len pre register certifikátov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Kompletná dokumentácia a kódy sú majetkom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Kompletná dokumentácia a kódy sú majetkom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Kompletná dokumentácia a kódy sú majetkom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Kompletná dokumentácia a kódy sú majetkom štátu, pr</w:t>
            </w:r>
            <w:r>
              <w:t>ocesy sú závislé na fluktuujúcich zamestnancoch</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Využitie údajov a stavebných blokov IIS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Riešia si to tretie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riešenia sú stavané ako centrálne komponenty IIS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riešenia sú stavané ako centrálne komponenty IIS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Moduly riešenia sú stavané ako centrálne komponenty IIS VS</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Modul riešenia je stavaný ako centrálny komponent IIS VS</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Mobilizácia vedeckého a odborného potenciálu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čiastočne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Riešia</w:t>
            </w:r>
            <w:r>
              <w:t xml:space="preserve"> si to tretie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 plným vplyvom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 plným vplyvom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 plným vplyvom štátu</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 plným vplyvom štátu, avšak iba minimálna automatizácia procesov</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Efektivita riadenia implementačného tímu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závislá na tretích stranách</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Podľa uváženia tretej strany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 súlade so štandardnými metodikami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 súlade so štandardnými metodikami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 súlade so štandardnými metodikami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V súlade so štandardnými metodikami</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Zvraznenie"/>
                <w:b/>
                <w:bCs/>
              </w:rPr>
              <w:t>Náklady</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jc w:val="center"/>
            </w:pPr>
            <w:r>
              <w:rPr>
                <w:rStyle w:val="Siln"/>
              </w:rPr>
              <w:t> </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Financovanie cez OPII (KO)</w:t>
            </w: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Tretie strany nie sú oprávnenými prijímateľmi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Projekt v rámci OPII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Projekt v rámci OPII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Projekt v rámci OPII</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Projekt v rámci OPII</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Rozloženie nákladov postupným nasadzovaním</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NA</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áno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nie</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Podľa uváženia tretej strany, register jednorazovo</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Predpokladá sa postupné nasadzovanie komponentov</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Predpokladá sa postupné nasadzovanie komponentov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Predpokladá sa postupné nasadzovanie komponentov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Len jeden modul</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rPr>
                <w:rStyle w:val="Zvraznenie"/>
                <w:b/>
                <w:bCs/>
              </w:rPr>
              <w:t>Vysvetlivky:</w:t>
            </w: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r>
      <w:tr w:rsidR="00000000">
        <w:trPr>
          <w:divId w:val="2031950130"/>
          <w:cantSplit/>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rPr>
                <w:rFonts w:eastAsia="Times New Roman"/>
              </w:rPr>
            </w:pPr>
          </w:p>
          <w:p w:rsidR="00000000" w:rsidRDefault="00501E77">
            <w:pPr>
              <w:spacing w:before="100" w:beforeAutospacing="1" w:after="100" w:afterAutospacing="1"/>
            </w:pPr>
            <w:r>
              <w:rPr>
                <w:rStyle w:val="Zvraznenie"/>
                <w:b/>
                <w:bCs/>
              </w:rPr>
              <w:t>(KO) = KO kritériá</w:t>
            </w:r>
            <w:r>
              <w:rPr>
                <w:rStyle w:val="Zvraznenie"/>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000000" w:rsidRDefault="00501E77">
            <w:pPr>
              <w:spacing w:before="100" w:beforeAutospacing="1" w:after="100" w:afterAutospacing="1"/>
            </w:pPr>
            <w:r>
              <w:t> </w:t>
            </w:r>
          </w:p>
        </w:tc>
      </w:tr>
    </w:tbl>
    <w:p w:rsidR="00000000" w:rsidRDefault="00501E77">
      <w:pPr>
        <w:pStyle w:val="Normlnywebov"/>
      </w:pPr>
      <w:r>
        <w:t> </w:t>
      </w:r>
    </w:p>
    <w:p w:rsidR="00000000" w:rsidRDefault="00501E77">
      <w:pPr>
        <w:pStyle w:val="Nadpis2"/>
        <w:rPr>
          <w:rFonts w:eastAsia="Times New Roman"/>
        </w:rPr>
      </w:pPr>
      <w:r>
        <w:rPr>
          <w:rFonts w:eastAsia="Times New Roman"/>
        </w:rPr>
        <w:t>Popis budúceho stavu</w:t>
      </w:r>
    </w:p>
    <w:p w:rsidR="00000000" w:rsidRDefault="00501E77">
      <w:pPr>
        <w:pStyle w:val="Nadpis3"/>
        <w:rPr>
          <w:rFonts w:eastAsia="Times New Roman"/>
        </w:rPr>
      </w:pPr>
      <w:r>
        <w:rPr>
          <w:rFonts w:eastAsia="Times New Roman"/>
        </w:rPr>
        <w:t>Legislatí</w:t>
      </w:r>
      <w:r>
        <w:rPr>
          <w:rFonts w:eastAsia="Times New Roman"/>
        </w:rPr>
        <w:t>va</w:t>
      </w:r>
    </w:p>
    <w:p w:rsidR="00000000" w:rsidRDefault="00501E77">
      <w:pPr>
        <w:pStyle w:val="Normlnywebov"/>
      </w:pPr>
      <w:r>
        <w:rPr>
          <w:rStyle w:val="Zvraznenie"/>
        </w:rPr>
        <w:t>Tabuľka 10</w:t>
      </w:r>
      <w:r>
        <w:rPr>
          <w:rStyle w:val="Zvraznenie"/>
        </w:rPr>
        <w:t xml:space="preserve"> </w:t>
      </w:r>
      <w:r>
        <w:rPr>
          <w:rStyle w:val="inline-comment-marker"/>
          <w:i/>
          <w:iCs/>
        </w:rPr>
        <w:t>Legislatíva - budúci sta</w:t>
      </w:r>
      <w:r>
        <w:rPr>
          <w:rStyle w:val="inline-comment-marker"/>
          <w:i/>
          <w:iCs/>
        </w:rPr>
        <w:t>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326281921"/>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1326281921"/>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V súvislosti s navrhovaným riešením je potrebné v oblasti legislatívy vykonať nasledovné okruhy zmien:</w:t>
            </w:r>
          </w:p>
          <w:p w:rsidR="00000000" w:rsidRDefault="00501E77">
            <w:pPr>
              <w:pStyle w:val="Normlnywebov"/>
            </w:pPr>
            <w:r>
              <w:t>1) V zákone 422/2015 Z. z. o uznávaní dokladov o vzdelaní a o uznávaní odborných kvalifikácií zakotviť certifikáty ako doklad o odbornej kvalifikácií. Napriek tomu, že kompetencia nie je významovo totožná s kvalifikáciou a v súčasnosti je riešená iba oblas</w:t>
            </w:r>
            <w:r>
              <w:t>ť regulovaných profesií, je možné z tejto legislatívnej normy vychádzať.</w:t>
            </w:r>
          </w:p>
          <w:p w:rsidR="00000000" w:rsidRDefault="00501E77">
            <w:pPr>
              <w:pStyle w:val="Normlnywebov"/>
            </w:pPr>
            <w:r>
              <w:t>2) Zákon 5/2004 Z. z. o službách zamestnanosti doplniť tak, aby poskytol rámec pre motiváciu zvyšovania kompetencií a zakotvil certifikáty ako doklady o zvyšovaní kvalifikácie.</w:t>
            </w:r>
          </w:p>
          <w:p w:rsidR="00000000" w:rsidRDefault="00501E77">
            <w:pPr>
              <w:pStyle w:val="Normlnywebov"/>
            </w:pPr>
            <w:r>
              <w:t>3) Dop</w:t>
            </w:r>
            <w:r>
              <w:t>lniť zákon 568/2009 Z. z. o celoživotnom vzdelávaní tak, aby zvyšovanie kompetencií bolo definované ako celoživotné vzdelávanie.</w:t>
            </w:r>
          </w:p>
          <w:p w:rsidR="00000000" w:rsidRDefault="00501E77">
            <w:pPr>
              <w:pStyle w:val="Normlnywebov"/>
            </w:pPr>
            <w:r>
              <w:t>4) Doplniť príslušnú vecnú legislatívu (živnostenský zákon, Zákon o štátnej službe, Zákon o verejnej službe a podobne), aby umo</w:t>
            </w:r>
            <w:r>
              <w:t>žňovali vyžadovanie vydávaných certifikátov resp. umožňovali náhradu požiadaviek na kvalifikáciu a podobne vydanými certifikátmi tam, kde to je relevantné.</w:t>
            </w:r>
          </w:p>
          <w:p w:rsidR="00000000" w:rsidRDefault="00501E77">
            <w:pPr>
              <w:pStyle w:val="Normlnywebov"/>
            </w:pPr>
            <w:r>
              <w:t>Detailná legislatívna analýza, ktorá bude realizovaná počas projektu, by mala ukázať prípadné doplne</w:t>
            </w:r>
            <w:r>
              <w:t>nie vyššie uvedeného aj v kontexte identifikovania optimálnej formy centrálnej metodicko-procesnej autority a s ňou súvisiacich kompetencií.</w:t>
            </w:r>
          </w:p>
        </w:tc>
      </w:tr>
      <w:tr w:rsidR="00000000">
        <w:trPr>
          <w:divId w:val="1326281921"/>
          <w:cantSplit/>
          <w:tblCellSpacing w:w="15" w:type="dxa"/>
        </w:trPr>
        <w:tc>
          <w:tcPr>
            <w:tcW w:w="0" w:type="auto"/>
            <w:gridSpan w:val="2"/>
            <w:vAlign w:val="center"/>
            <w:hideMark/>
          </w:tcPr>
          <w:p w:rsidR="00000000" w:rsidRDefault="00501E77">
            <w:pPr>
              <w:pStyle w:val="Normlnywebov"/>
            </w:pPr>
            <w:r>
              <w:rPr>
                <w:rStyle w:val="Zvraznenie"/>
              </w:rPr>
              <w:t>Priestor pre sumárny obrázok / graf / diagram, nepovinná informácia.</w:t>
            </w:r>
          </w:p>
          <w:p w:rsidR="00000000" w:rsidRDefault="00501E77">
            <w:pPr>
              <w:pStyle w:val="Normlnywebov"/>
            </w:pPr>
            <w:r>
              <w:t> </w:t>
            </w:r>
          </w:p>
        </w:tc>
      </w:tr>
      <w:tr w:rsidR="00000000">
        <w:trPr>
          <w:divId w:val="1326281921"/>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w:t>
            </w:r>
            <w:r>
              <w:rPr>
                <w:rStyle w:val="Zvraznenie"/>
              </w:rPr>
              <w:t>e detailný popis je potrebné využiť prílohy)</w:t>
            </w:r>
          </w:p>
          <w:p w:rsidR="00000000" w:rsidRDefault="00501E77">
            <w:pPr>
              <w:pStyle w:val="Normlnywebov"/>
            </w:pPr>
            <w:r>
              <w:t> </w:t>
            </w:r>
          </w:p>
        </w:tc>
      </w:tr>
      <w:tr w:rsidR="00000000">
        <w:trPr>
          <w:divId w:val="1326281921"/>
          <w:cantSplit/>
          <w:tblCellSpacing w:w="15" w:type="dxa"/>
        </w:trPr>
        <w:tc>
          <w:tcPr>
            <w:tcW w:w="0" w:type="auto"/>
            <w:vAlign w:val="center"/>
            <w:hideMark/>
          </w:tcPr>
          <w:p w:rsidR="00000000" w:rsidRDefault="00501E77">
            <w:pPr>
              <w:pStyle w:val="Normlnywebov"/>
            </w:pPr>
            <w:r>
              <w:rPr>
                <w:rStyle w:val="Siln"/>
              </w:rPr>
              <w:t>Kritéria kvality</w:t>
            </w:r>
          </w:p>
        </w:tc>
        <w:tc>
          <w:tcPr>
            <w:tcW w:w="0" w:type="auto"/>
            <w:vAlign w:val="center"/>
            <w:hideMark/>
          </w:tcPr>
          <w:p w:rsidR="00000000" w:rsidRDefault="00501E77">
            <w:pPr>
              <w:pStyle w:val="Normlnywebov"/>
            </w:pPr>
            <w:r>
              <w:rPr>
                <w:rStyle w:val="Siln"/>
              </w:rPr>
              <w:t>Spresnenie kritérií kvality:</w:t>
            </w:r>
            <w:r>
              <w:t xml:space="preserve"> </w:t>
            </w:r>
            <w:r>
              <w:rPr>
                <w:rStyle w:val="Zvraznenie"/>
              </w:rPr>
              <w:t xml:space="preserve">Odkazy na relevantné identifikátory kritérií kvality v prílohe Kritéria kvality. </w:t>
            </w:r>
            <w:r>
              <w:t>QL_01, QL_02</w:t>
            </w:r>
          </w:p>
        </w:tc>
      </w:tr>
      <w:tr w:rsidR="00000000">
        <w:trPr>
          <w:divId w:val="1326281921"/>
          <w:cantSplit/>
          <w:tblCellSpacing w:w="15" w:type="dxa"/>
        </w:trPr>
        <w:tc>
          <w:tcPr>
            <w:tcW w:w="0" w:type="auto"/>
            <w:gridSpan w:val="2"/>
            <w:vAlign w:val="center"/>
            <w:hideMark/>
          </w:tcPr>
          <w:p w:rsidR="00000000" w:rsidRDefault="00501E77">
            <w:pPr>
              <w:pStyle w:val="Normlnywebov"/>
            </w:pPr>
            <w:r>
              <w:rPr>
                <w:rStyle w:val="Zvraznenie"/>
              </w:rPr>
              <w:t>Stručná charakteristika požadovanej kvality (Max. 400 znakov)</w:t>
            </w:r>
          </w:p>
          <w:p w:rsidR="00000000" w:rsidRDefault="00501E77">
            <w:pPr>
              <w:pStyle w:val="Normlnywebov"/>
            </w:pPr>
            <w:r>
              <w:sym w:font="Symbol" w:char="F0A7"/>
            </w:r>
            <w:r>
              <w:t xml:space="preserve"> Súlad s riadiacimi dokumentami OP ĽZ, predovšetkým pri návrhu úprav legislatívnych a metodických zmien a návrhu unifikovaných a optimalizovaných ekonomických procesov, aby vyhovovali požiadavkám DEI</w:t>
            </w:r>
          </w:p>
          <w:p w:rsidR="00000000" w:rsidRDefault="00501E77">
            <w:pPr>
              <w:pStyle w:val="Normlnywebov"/>
            </w:pPr>
            <w:r>
              <w:sym w:font="Symbol" w:char="F0A7"/>
            </w:r>
            <w:r>
              <w:t xml:space="preserve"> Miera štandardizácie a unifikácie procesov, tzn. zúžen</w:t>
            </w:r>
            <w:r>
              <w:t>ie priestoru pre jednotlivé organizácie tak, aby procesy mohli byť riešené jednotne a rovnako</w:t>
            </w:r>
          </w:p>
        </w:tc>
      </w:tr>
      <w:tr w:rsidR="00000000">
        <w:trPr>
          <w:divId w:val="1326281921"/>
          <w:cantSplit/>
          <w:tblCellSpacing w:w="15" w:type="dxa"/>
        </w:trPr>
        <w:tc>
          <w:tcPr>
            <w:tcW w:w="0" w:type="auto"/>
            <w:vAlign w:val="center"/>
            <w:hideMark/>
          </w:tcPr>
          <w:p w:rsidR="00000000" w:rsidRDefault="00501E77">
            <w:pPr>
              <w:pStyle w:val="Normlnywebov"/>
            </w:pPr>
            <w:r>
              <w:rPr>
                <w:rStyle w:val="Siln"/>
              </w:rPr>
              <w:t>Riziká</w:t>
            </w:r>
          </w:p>
        </w:tc>
        <w:tc>
          <w:tcPr>
            <w:tcW w:w="0" w:type="auto"/>
            <w:vAlign w:val="center"/>
            <w:hideMark/>
          </w:tcPr>
          <w:p w:rsidR="00000000" w:rsidRDefault="00501E77">
            <w:pPr>
              <w:pStyle w:val="Normlnywebov"/>
            </w:pPr>
            <w:r>
              <w:rPr>
                <w:rStyle w:val="Siln"/>
              </w:rPr>
              <w:t>Spresnenie identifikovaných rizík:</w:t>
            </w:r>
            <w:r>
              <w:t xml:space="preserve"> </w:t>
            </w:r>
            <w:r>
              <w:rPr>
                <w:rStyle w:val="Zvraznenie"/>
              </w:rPr>
              <w:t xml:space="preserve">Odkazy na relevantné identifikátory rizík v prílohe Riziká. </w:t>
            </w:r>
            <w:r>
              <w:t>RL_01, RL_02</w:t>
            </w:r>
          </w:p>
        </w:tc>
      </w:tr>
      <w:tr w:rsidR="00000000">
        <w:trPr>
          <w:divId w:val="1326281921"/>
          <w:cantSplit/>
          <w:tblCellSpacing w:w="15" w:type="dxa"/>
        </w:trPr>
        <w:tc>
          <w:tcPr>
            <w:tcW w:w="0" w:type="auto"/>
            <w:gridSpan w:val="2"/>
            <w:vAlign w:val="center"/>
            <w:hideMark/>
          </w:tcPr>
          <w:p w:rsidR="00000000" w:rsidRDefault="00501E77">
            <w:pPr>
              <w:pStyle w:val="Normlnywebov"/>
            </w:pPr>
            <w:r>
              <w:rPr>
                <w:rStyle w:val="Zvraznenie"/>
              </w:rPr>
              <w:t>Stručná charakteristika identifikovaných riz</w:t>
            </w:r>
            <w:r>
              <w:rPr>
                <w:rStyle w:val="Zvraznenie"/>
              </w:rPr>
              <w:t>ík (Max. 400 znakov)</w:t>
            </w:r>
          </w:p>
          <w:p w:rsidR="00000000" w:rsidRDefault="00501E77">
            <w:pPr>
              <w:pStyle w:val="Normlnywebov"/>
            </w:pPr>
            <w:r>
              <w:sym w:font="Symbol" w:char="F0A7"/>
            </w:r>
            <w:r>
              <w:t xml:space="preserve"> </w:t>
            </w:r>
            <w:r>
              <w:rPr>
                <w:rStyle w:val="inline-comment-marker"/>
              </w:rPr>
              <w:t>Politické riziko pri zmene vlád</w:t>
            </w:r>
            <w:r>
              <w:rPr>
                <w:rStyle w:val="inline-comment-marker"/>
              </w:rPr>
              <w:t>y</w:t>
            </w:r>
          </w:p>
          <w:p w:rsidR="00000000" w:rsidRDefault="00501E77">
            <w:pPr>
              <w:pStyle w:val="Normlnywebov"/>
            </w:pPr>
            <w:r>
              <w:sym w:font="Symbol" w:char="F0A7"/>
            </w:r>
            <w:r>
              <w:t xml:space="preserve"> Dlhý legislatívny proces</w:t>
            </w:r>
          </w:p>
        </w:tc>
      </w:tr>
      <w:tr w:rsidR="00000000">
        <w:trPr>
          <w:divId w:val="1326281921"/>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1326281921"/>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sym w:font="Symbol" w:char="F0A7"/>
            </w:r>
            <w:r>
              <w:t xml:space="preserve"> Tabuľka 2 Riziká </w:t>
            </w:r>
            <w:r>
              <w:sym w:font="Symbol" w:char="F0A7"/>
            </w:r>
            <w:r>
              <w:t xml:space="preserve"> Tabuľka 3 Kritéria kvality </w:t>
            </w:r>
            <w:r>
              <w:sym w:font="Symbol" w:char="F0A7"/>
            </w:r>
            <w:r>
              <w:t xml:space="preserve"> Tabuľka 4 Legislatíva</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3"/>
        <w:rPr>
          <w:rFonts w:eastAsia="Times New Roman"/>
        </w:rPr>
      </w:pPr>
      <w:r>
        <w:rPr>
          <w:rFonts w:eastAsia="Times New Roman"/>
        </w:rPr>
        <w:t>Architektúra</w:t>
      </w:r>
    </w:p>
    <w:p w:rsidR="00000000" w:rsidRDefault="00501E77">
      <w:pPr>
        <w:pStyle w:val="Nadpis4"/>
        <w:rPr>
          <w:rFonts w:eastAsia="Times New Roman"/>
        </w:rPr>
      </w:pPr>
      <w:r>
        <w:rPr>
          <w:rFonts w:eastAsia="Times New Roman"/>
        </w:rPr>
        <w:t>Biznis architektúra</w:t>
      </w:r>
    </w:p>
    <w:p w:rsidR="00000000" w:rsidRDefault="00501E77">
      <w:pPr>
        <w:pStyle w:val="Normlnywebov"/>
      </w:pPr>
      <w:r>
        <w:rPr>
          <w:rStyle w:val="Zvraznenie"/>
        </w:rPr>
        <w:t>Tabuľka 11 Biznis architektúra – budúci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691567625"/>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691567625"/>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Biznis architektúra pokrýva tri základné funkcie:</w:t>
            </w:r>
          </w:p>
          <w:p w:rsidR="00000000" w:rsidRDefault="00501E77">
            <w:pPr>
              <w:pStyle w:val="Normlnywebov"/>
            </w:pPr>
            <w:r>
              <w:t>- úvodné otestovanie sa</w:t>
            </w:r>
          </w:p>
          <w:p w:rsidR="00000000" w:rsidRDefault="00501E77">
            <w:pPr>
              <w:pStyle w:val="Normlnywebov"/>
            </w:pPr>
            <w:r>
              <w:t>- vydanie príslušných certifikátov na základe ohodnotenia úrovne kompetencií</w:t>
            </w:r>
          </w:p>
          <w:p w:rsidR="00000000" w:rsidRDefault="00501E77">
            <w:pPr>
              <w:pStyle w:val="Normlnywebov"/>
            </w:pPr>
            <w:r>
              <w:t>- analýzu výsledkov pre optimalizáciu r</w:t>
            </w:r>
            <w:r>
              <w:t>egulačného rámca, skvalitnenia nástrojov a sledovanie dosahovania merateľných ukazovateľov</w:t>
            </w:r>
          </w:p>
        </w:tc>
      </w:tr>
      <w:tr w:rsidR="00000000">
        <w:trPr>
          <w:divId w:val="691567625"/>
          <w:cantSplit/>
          <w:tblCellSpacing w:w="15" w:type="dxa"/>
        </w:trPr>
        <w:tc>
          <w:tcPr>
            <w:tcW w:w="0" w:type="auto"/>
            <w:gridSpan w:val="2"/>
            <w:vAlign w:val="center"/>
            <w:hideMark/>
          </w:tcPr>
          <w:p w:rsidR="00000000" w:rsidRDefault="00501E77">
            <w:pPr>
              <w:pStyle w:val="Normlnywebov"/>
            </w:pPr>
            <w:r>
              <w:rPr>
                <w:rStyle w:val="inline-comment-marker"/>
                <w:i/>
                <w:iCs/>
              </w:rPr>
              <w:t>Priestor pre sumárny obrázok: ArchiMate štandardný viewpoint – „Product viewpoint", „Business Process Viewpoint</w:t>
            </w:r>
            <w:r>
              <w:rPr>
                <w:rStyle w:val="inline-comment-marker"/>
                <w:i/>
                <w:iCs/>
              </w:rPr>
              <w:t>"</w:t>
            </w:r>
          </w:p>
          <w:p w:rsidR="00000000" w:rsidRDefault="00501E77">
            <w:pPr>
              <w:pStyle w:val="Normlnywebov"/>
            </w:pPr>
            <w:r>
              <w:rPr>
                <w:rFonts w:ascii="Calibri" w:hAnsi="Calibri" w:cs="Calibri"/>
                <w:noProof/>
                <w:color w:val="000000"/>
                <w:sz w:val="22"/>
                <w:szCs w:val="22"/>
              </w:rPr>
              <w:drawing>
                <wp:inline distT="0" distB="0" distL="0" distR="0">
                  <wp:extent cx="4457700" cy="2990850"/>
                  <wp:effectExtent l="0" t="0" r="0" b="0"/>
                  <wp:docPr id="10" name="Obrázok 10" descr="C:\5f09caaa989b5ad850fd9c66d69b9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5f09caaa989b5ad850fd9c66d69b9ef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2990850"/>
                          </a:xfrm>
                          <a:prstGeom prst="rect">
                            <a:avLst/>
                          </a:prstGeom>
                          <a:noFill/>
                          <a:ln>
                            <a:noFill/>
                          </a:ln>
                        </pic:spPr>
                      </pic:pic>
                    </a:graphicData>
                  </a:graphic>
                </wp:inline>
              </w:drawing>
            </w:r>
            <w:r>
              <w:rPr>
                <w:rStyle w:val="Siln"/>
                <w:rFonts w:ascii="Calibri" w:hAnsi="Calibri" w:cs="Calibri"/>
                <w:b w:val="0"/>
                <w:bCs w:val="0"/>
                <w:color w:val="000000"/>
                <w:sz w:val="22"/>
                <w:szCs w:val="22"/>
              </w:rPr>
              <w:t> </w:t>
            </w:r>
          </w:p>
          <w:p w:rsidR="00000000" w:rsidRDefault="00501E77">
            <w:pPr>
              <w:pStyle w:val="Normlnywebov"/>
            </w:pPr>
            <w:r>
              <w:rPr>
                <w:rStyle w:val="inline-comment-marker"/>
                <w:rFonts w:ascii="Calibri" w:hAnsi="Calibri" w:cs="Calibri"/>
                <w:i/>
                <w:iCs/>
                <w:color w:val="000000"/>
                <w:sz w:val="22"/>
                <w:szCs w:val="22"/>
              </w:rPr>
              <w:t>Obrázok 6 Budúci stav biznis architektúr</w:t>
            </w:r>
            <w:r>
              <w:rPr>
                <w:rStyle w:val="inline-comment-marker"/>
                <w:rFonts w:ascii="Calibri" w:hAnsi="Calibri" w:cs="Calibri"/>
                <w:i/>
                <w:iCs/>
                <w:color w:val="000000"/>
                <w:sz w:val="22"/>
                <w:szCs w:val="22"/>
              </w:rPr>
              <w:t>y</w:t>
            </w:r>
          </w:p>
        </w:tc>
      </w:tr>
      <w:tr w:rsidR="00000000">
        <w:trPr>
          <w:divId w:val="691567625"/>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Detailnejší prehľad jednotlivých koncových biznis služieb, biznis procesov a funkcií je uvedený v prílohe tejto štúdie (Vybrané detaily biznis architektúry).</w:t>
            </w:r>
          </w:p>
          <w:p w:rsidR="00000000" w:rsidRDefault="00501E77">
            <w:pPr>
              <w:pStyle w:val="Normlnywebov"/>
            </w:pPr>
            <w:r>
              <w:t>Súčasťou poskytovaných služieb j</w:t>
            </w:r>
            <w:r>
              <w:t>e aj:</w:t>
            </w:r>
          </w:p>
          <w:p w:rsidR="00000000" w:rsidRDefault="00501E77">
            <w:pPr>
              <w:pStyle w:val="Normlnywebov"/>
            </w:pPr>
            <w:r>
              <w:t>- nastavenie a naplnenie certifikačných nástrojov pre certifikáciu všetkých úrovní kompetencií pre vydávané certifikáty</w:t>
            </w:r>
          </w:p>
          <w:p w:rsidR="00000000" w:rsidRDefault="00501E77">
            <w:pPr>
              <w:pStyle w:val="Normlnywebov"/>
            </w:pPr>
            <w:r>
              <w:t>- nastavenie a naplnenie certifikačných nástrojov pre certifikáciu úrovní A1, A2, B1, B2 kompetencií pre vydávané certifikáty</w:t>
            </w:r>
          </w:p>
          <w:p w:rsidR="00000000" w:rsidRDefault="00501E77">
            <w:pPr>
              <w:pStyle w:val="Normlnywebov"/>
            </w:pPr>
            <w:r>
              <w:t>Komp</w:t>
            </w:r>
            <w:r>
              <w:t>lexná certifikácia pre všetky úrovne vydávaných certifikátov je časovo veľmi náročná a je veľká pravdepodobnosť, že by nedokázala byť realizovaná z dôvodu časových, ľudských a finančných obmedzení počas trvania projektu zrealizovaná, čím by sa ohrozil proj</w:t>
            </w:r>
            <w:r>
              <w:t>ekt ako celok. Preto je v ďalšom predpokladané, že certifikáty budú vydávané v nasledovných variantách: jeden pre úrovne A1, A2, B1 a B2. Typy testovania, výstupy certifikačného procesu ako aj jednotlivé úrovne sú popísané v prílohe tejto štúdie (Vybrané d</w:t>
            </w:r>
            <w:r>
              <w:t>etaily biznis architektúry )</w:t>
            </w:r>
          </w:p>
          <w:p w:rsidR="00000000" w:rsidRDefault="00501E77">
            <w:pPr>
              <w:numPr>
                <w:ilvl w:val="0"/>
                <w:numId w:val="26"/>
              </w:numPr>
              <w:spacing w:before="100" w:beforeAutospacing="1" w:after="100" w:afterAutospacing="1"/>
              <w:rPr>
                <w:rFonts w:eastAsia="Times New Roman"/>
              </w:rPr>
            </w:pPr>
            <w:r>
              <w:rPr>
                <w:rFonts w:eastAsia="Times New Roman"/>
              </w:rPr>
              <w:t>procesy a funkcionalitu služieb je treba pripraviť tak, aby certifikácie v prípade zvýšeného záujmu boli poskytované prioritne znevýhodneným osobám</w:t>
            </w:r>
          </w:p>
          <w:p w:rsidR="00000000" w:rsidRDefault="00501E77">
            <w:pPr>
              <w:pStyle w:val="Normlnywebov"/>
            </w:pPr>
            <w:r>
              <w:t> </w:t>
            </w:r>
          </w:p>
        </w:tc>
      </w:tr>
      <w:tr w:rsidR="00000000">
        <w:trPr>
          <w:divId w:val="691567625"/>
          <w:cantSplit/>
          <w:tblCellSpacing w:w="15" w:type="dxa"/>
        </w:trPr>
        <w:tc>
          <w:tcPr>
            <w:tcW w:w="0" w:type="auto"/>
            <w:vAlign w:val="center"/>
            <w:hideMark/>
          </w:tcPr>
          <w:p w:rsidR="00000000" w:rsidRDefault="00501E77">
            <w:pPr>
              <w:pStyle w:val="Normlnywebov"/>
            </w:pPr>
            <w:r>
              <w:rPr>
                <w:rStyle w:val="Siln"/>
              </w:rPr>
              <w:t>Kritéria kvality</w:t>
            </w:r>
          </w:p>
        </w:tc>
        <w:tc>
          <w:tcPr>
            <w:tcW w:w="0" w:type="auto"/>
            <w:vAlign w:val="center"/>
            <w:hideMark/>
          </w:tcPr>
          <w:p w:rsidR="00000000" w:rsidRDefault="00501E77">
            <w:pPr>
              <w:pStyle w:val="Normlnywebov"/>
            </w:pPr>
            <w:r>
              <w:rPr>
                <w:rStyle w:val="Siln"/>
              </w:rPr>
              <w:t>Spresnenie kritérií kvality:</w:t>
            </w:r>
            <w:r>
              <w:t xml:space="preserve"> </w:t>
            </w:r>
            <w:r>
              <w:rPr>
                <w:rStyle w:val="Zvraznenie"/>
              </w:rPr>
              <w:t>Odkazy na relevantné identifi</w:t>
            </w:r>
            <w:r>
              <w:rPr>
                <w:rStyle w:val="Zvraznenie"/>
              </w:rPr>
              <w:t xml:space="preserve">kátory kritérií kvality v prílohe Kritéria kvality. </w:t>
            </w:r>
            <w:r>
              <w:t>QB_01, QB_02, QB_03</w:t>
            </w:r>
          </w:p>
        </w:tc>
      </w:tr>
      <w:tr w:rsidR="00000000">
        <w:trPr>
          <w:divId w:val="691567625"/>
          <w:cantSplit/>
          <w:tblCellSpacing w:w="15" w:type="dxa"/>
        </w:trPr>
        <w:tc>
          <w:tcPr>
            <w:tcW w:w="0" w:type="auto"/>
            <w:gridSpan w:val="2"/>
            <w:vAlign w:val="center"/>
            <w:hideMark/>
          </w:tcPr>
          <w:p w:rsidR="00000000" w:rsidRDefault="00501E77">
            <w:pPr>
              <w:pStyle w:val="Normlnywebov"/>
            </w:pPr>
            <w:r>
              <w:t>Stručná charakteristika požadovanej kvality (Max. 400 znakov)</w:t>
            </w:r>
          </w:p>
          <w:p w:rsidR="00000000" w:rsidRDefault="00501E77">
            <w:pPr>
              <w:pStyle w:val="Normlnywebov"/>
            </w:pPr>
            <w:r>
              <w:sym w:font="Symbol" w:char="F0A7"/>
            </w:r>
            <w:r>
              <w:t xml:space="preserve"> Miera štandardizácie a unifikácie procesov</w:t>
            </w:r>
          </w:p>
          <w:p w:rsidR="00000000" w:rsidRDefault="00501E77">
            <w:pPr>
              <w:pStyle w:val="Normlnywebov"/>
            </w:pPr>
            <w:r>
              <w:sym w:font="Symbol" w:char="F0A7"/>
            </w:r>
            <w:r>
              <w:t xml:space="preserve"> Miera úplnosti procesov (akú časť procesov umožňuje riešenie pokryť elektr</w:t>
            </w:r>
            <w:r>
              <w:t>onicky)</w:t>
            </w:r>
          </w:p>
          <w:p w:rsidR="00000000" w:rsidRDefault="00501E77">
            <w:pPr>
              <w:pStyle w:val="Normlnywebov"/>
            </w:pPr>
            <w:r>
              <w:sym w:font="Symbol" w:char="F0A7"/>
            </w:r>
            <w:r>
              <w:t xml:space="preserve"> Miera a spôsob využívania údajov v rozhodovacích procesoch (úroveň analýz)</w:t>
            </w:r>
          </w:p>
        </w:tc>
      </w:tr>
      <w:tr w:rsidR="00000000">
        <w:trPr>
          <w:divId w:val="691567625"/>
          <w:cantSplit/>
          <w:tblCellSpacing w:w="15" w:type="dxa"/>
        </w:trPr>
        <w:tc>
          <w:tcPr>
            <w:tcW w:w="0" w:type="auto"/>
            <w:vAlign w:val="center"/>
            <w:hideMark/>
          </w:tcPr>
          <w:p w:rsidR="00000000" w:rsidRDefault="00501E77">
            <w:pPr>
              <w:pStyle w:val="Normlnywebov"/>
            </w:pPr>
            <w:r>
              <w:rPr>
                <w:rStyle w:val="Siln"/>
              </w:rPr>
              <w:t>Riziká</w:t>
            </w:r>
          </w:p>
        </w:tc>
        <w:tc>
          <w:tcPr>
            <w:tcW w:w="0" w:type="auto"/>
            <w:vAlign w:val="center"/>
            <w:hideMark/>
          </w:tcPr>
          <w:p w:rsidR="00000000" w:rsidRDefault="00501E77">
            <w:pPr>
              <w:pStyle w:val="Normlnywebov"/>
            </w:pPr>
            <w:r>
              <w:rPr>
                <w:rStyle w:val="Siln"/>
              </w:rPr>
              <w:t>Spresnenie identifikovaných rizík:</w:t>
            </w:r>
            <w:r>
              <w:t xml:space="preserve"> </w:t>
            </w:r>
            <w:r>
              <w:rPr>
                <w:rStyle w:val="Zvraznenie"/>
              </w:rPr>
              <w:t xml:space="preserve">Odkazy na relevantné identifikátory rizík v prílohe Riziká. </w:t>
            </w:r>
            <w:r>
              <w:t>RB_03, RB_04, RB_05, RB_06</w:t>
            </w:r>
          </w:p>
        </w:tc>
      </w:tr>
      <w:tr w:rsidR="00000000">
        <w:trPr>
          <w:divId w:val="691567625"/>
          <w:cantSplit/>
          <w:tblCellSpacing w:w="15" w:type="dxa"/>
        </w:trPr>
        <w:tc>
          <w:tcPr>
            <w:tcW w:w="0" w:type="auto"/>
            <w:gridSpan w:val="2"/>
            <w:vAlign w:val="center"/>
            <w:hideMark/>
          </w:tcPr>
          <w:p w:rsidR="00000000" w:rsidRDefault="00501E77">
            <w:pPr>
              <w:pStyle w:val="Normlnywebov"/>
            </w:pPr>
            <w:r>
              <w:rPr>
                <w:rStyle w:val="Zvraznenie"/>
              </w:rPr>
              <w:t>Stručná charakteristika identifikovaných rizík (Max. 400 znakov)</w:t>
            </w:r>
          </w:p>
          <w:p w:rsidR="00000000" w:rsidRDefault="00501E77">
            <w:pPr>
              <w:pStyle w:val="Normlnywebov"/>
            </w:pPr>
            <w:r>
              <w:sym w:font="Symbol" w:char="F0A7"/>
            </w:r>
            <w:r>
              <w:t xml:space="preserve"> Nepodarí sa presadiť certifikáciu ako štandardnú požiadavku pre zamestnávanie</w:t>
            </w:r>
          </w:p>
          <w:p w:rsidR="00000000" w:rsidRDefault="00501E77">
            <w:pPr>
              <w:pStyle w:val="Normlnywebov"/>
            </w:pPr>
            <w:r>
              <w:sym w:font="Symbol" w:char="F0A7"/>
            </w:r>
            <w:r>
              <w:t xml:space="preserve"> Nedostatočná súčinnosť certifikačných partnerov</w:t>
            </w:r>
          </w:p>
          <w:p w:rsidR="00000000" w:rsidRDefault="00501E77">
            <w:pPr>
              <w:pStyle w:val="Normlnywebov"/>
            </w:pPr>
            <w:r>
              <w:sym w:font="Symbol" w:char="F0A7"/>
            </w:r>
            <w:r>
              <w:t xml:space="preserve"> Nedostatok kvalitnej prípravy</w:t>
            </w:r>
          </w:p>
          <w:p w:rsidR="00000000" w:rsidRDefault="00501E77">
            <w:pPr>
              <w:pStyle w:val="Normlnywebov"/>
            </w:pPr>
            <w:r>
              <w:sym w:font="Symbol" w:char="F0A7"/>
            </w:r>
            <w:r>
              <w:t xml:space="preserve"> Neuznávanie certifikátov za</w:t>
            </w:r>
            <w:r>
              <w:t>mestnávateľmi</w:t>
            </w:r>
          </w:p>
          <w:p w:rsidR="00000000" w:rsidRDefault="00501E77">
            <w:pPr>
              <w:pStyle w:val="Normlnywebov"/>
            </w:pPr>
            <w:r>
              <w:t> </w:t>
            </w:r>
          </w:p>
        </w:tc>
      </w:tr>
      <w:tr w:rsidR="00000000">
        <w:trPr>
          <w:divId w:val="691567625"/>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691567625"/>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sym w:font="Symbol" w:char="F0A7"/>
            </w:r>
            <w:r>
              <w:t xml:space="preserve"> Tabuľka 2 Riziká </w:t>
            </w:r>
            <w:r>
              <w:sym w:font="Symbol" w:char="F0A7"/>
            </w:r>
            <w:r>
              <w:t xml:space="preserve"> Tabuľka 3 Kritéria kvality </w:t>
            </w:r>
            <w:r>
              <w:sym w:font="Symbol" w:char="F0A7"/>
            </w:r>
            <w:r>
              <w:t xml:space="preserve"> Tabuľka 9 Biznis rozhrania </w:t>
            </w:r>
            <w:r>
              <w:sym w:font="Symbol" w:char="F0A7"/>
            </w:r>
            <w:r>
              <w:t xml:space="preserve"> Tabuľka 10 Biznis procesy </w:t>
            </w:r>
            <w:r>
              <w:sym w:font="Symbol" w:char="F0A7"/>
            </w:r>
            <w:r>
              <w:t xml:space="preserve"> Tabuľka 11 Biznis funkcie </w:t>
            </w:r>
            <w:r>
              <w:sym w:font="Symbol" w:char="F0A7"/>
            </w:r>
            <w:r>
              <w:t xml:space="preserve"> Tabuľka 12 Biznis služby </w:t>
            </w:r>
            <w:r>
              <w:sym w:font="Symbol" w:char="F0A7"/>
            </w:r>
            <w:r>
              <w:t xml:space="preserve"> Tabuľka 13 Biznis informácie </w:t>
            </w:r>
            <w:r>
              <w:sym w:font="Symbol" w:char="F0A7"/>
            </w:r>
            <w:r>
              <w:t xml:space="preserve"> Vybrané detaily biznis architektúry</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4"/>
        <w:rPr>
          <w:rFonts w:eastAsia="Times New Roman"/>
        </w:rPr>
      </w:pPr>
      <w:r>
        <w:rPr>
          <w:rFonts w:eastAsia="Times New Roman"/>
        </w:rPr>
        <w:t>Architektúra informačných systémov</w:t>
      </w:r>
    </w:p>
    <w:p w:rsidR="00000000" w:rsidRDefault="00501E77">
      <w:pPr>
        <w:pStyle w:val="Normlnywebov"/>
      </w:pPr>
      <w:r>
        <w:rPr>
          <w:rStyle w:val="Zvraznenie"/>
        </w:rPr>
        <w:t>Tabuľka 12 Architektúra informačných systémov - budúci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086880504"/>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1086880504"/>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Aplikačná architektúra je založená na pi</w:t>
            </w:r>
            <w:r>
              <w:t>a</w:t>
            </w:r>
            <w:r>
              <w:rPr>
                <w:rStyle w:val="inline-comment-marker"/>
              </w:rPr>
              <w:t>tic</w:t>
            </w:r>
            <w:r>
              <w:rPr>
                <w:rStyle w:val="inline-comment-marker"/>
              </w:rPr>
              <w:t>h</w:t>
            </w:r>
            <w:r>
              <w:t xml:space="preserve"> logických komponentoch:</w:t>
            </w:r>
          </w:p>
          <w:p w:rsidR="00000000" w:rsidRDefault="00501E77">
            <w:pPr>
              <w:pStyle w:val="Normlnywebov"/>
            </w:pPr>
            <w:r>
              <w:t>- Modul pre evidenciu pro</w:t>
            </w:r>
            <w:r>
              <w:t>filov (Modul pre profiláciu), zabezpečujúci automatické vstupné hodnotenie osoby so zapísaním k príslušnému vedenému profilu osoby</w:t>
            </w:r>
          </w:p>
          <w:p w:rsidR="00000000" w:rsidRDefault="00501E77">
            <w:pPr>
              <w:pStyle w:val="Normlnywebov"/>
            </w:pPr>
            <w:r>
              <w:t>- Modul riadenia certifikácií, umožňujúci organizáciu certifikačných udalostí, zaznamenávajúci ich konanie a výsledky</w:t>
            </w:r>
          </w:p>
          <w:p w:rsidR="00000000" w:rsidRDefault="00501E77">
            <w:pPr>
              <w:pStyle w:val="Normlnywebov"/>
            </w:pPr>
            <w:r>
              <w:t>- Regis</w:t>
            </w:r>
            <w:r>
              <w:t xml:space="preserve">ter IS DEI, obsahujúci registre certifikátov, certifikačných partnerov </w:t>
            </w:r>
            <w:r>
              <w:rPr>
                <w:strike/>
              </w:rPr>
              <w:t>a</w:t>
            </w:r>
            <w:r>
              <w:rPr>
                <w:strike/>
              </w:rPr>
              <w:t xml:space="preserve"> </w:t>
            </w:r>
            <w:r>
              <w:rPr>
                <w:rStyle w:val="inline-comment-marker"/>
                <w:strike/>
              </w:rPr>
              <w:t>partnero</w:t>
            </w:r>
            <w:r>
              <w:rPr>
                <w:rStyle w:val="inline-comment-marker"/>
                <w:strike/>
              </w:rPr>
              <w:t>v</w:t>
            </w:r>
          </w:p>
          <w:p w:rsidR="00000000" w:rsidRDefault="00501E77">
            <w:pPr>
              <w:pStyle w:val="Normlnywebov"/>
            </w:pPr>
            <w:r>
              <w:t>- Notifikačný modul pre zasielanie notifikácií a udalostí určeným adresátom</w:t>
            </w:r>
          </w:p>
          <w:p w:rsidR="00000000" w:rsidRDefault="00501E77">
            <w:pPr>
              <w:pStyle w:val="Normlnywebov"/>
            </w:pPr>
            <w:r>
              <w:t>- Analytický modul, obsahujúci tradičné nástroje pre online analýzy a reporting</w:t>
            </w:r>
          </w:p>
        </w:tc>
      </w:tr>
      <w:tr w:rsidR="00000000">
        <w:trPr>
          <w:divId w:val="1086880504"/>
          <w:cantSplit/>
          <w:tblCellSpacing w:w="15" w:type="dxa"/>
        </w:trPr>
        <w:tc>
          <w:tcPr>
            <w:tcW w:w="0" w:type="auto"/>
            <w:gridSpan w:val="2"/>
            <w:vAlign w:val="center"/>
            <w:hideMark/>
          </w:tcPr>
          <w:p w:rsidR="00000000" w:rsidRDefault="00501E77">
            <w:pPr>
              <w:pStyle w:val="Normlnywebov"/>
            </w:pPr>
            <w:r>
              <w:rPr>
                <w:rStyle w:val="inline-comment-marker"/>
                <w:i/>
                <w:iCs/>
              </w:rPr>
              <w:t>Priestor pre sumárny obrázok: ArchiMate štandardný viewpoint – „Application Usage Viewpoint", „Application Co-operation Viewpoint</w:t>
            </w:r>
            <w:r>
              <w:rPr>
                <w:rStyle w:val="inline-comment-marker"/>
                <w:i/>
                <w:iCs/>
              </w:rPr>
              <w:t>"</w:t>
            </w:r>
          </w:p>
          <w:p w:rsidR="00000000" w:rsidRDefault="00501E77">
            <w:pPr>
              <w:pStyle w:val="Normlnywebov"/>
            </w:pPr>
            <w:r>
              <w:rPr>
                <w:noProof/>
              </w:rPr>
              <w:drawing>
                <wp:inline distT="0" distB="0" distL="0" distR="0">
                  <wp:extent cx="4457700" cy="2171700"/>
                  <wp:effectExtent l="0" t="0" r="0" b="0"/>
                  <wp:docPr id="11" name="Obrázok 11" descr="C:\2b052189e49b6e7b555e9ba53c1c7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b052189e49b6e7b555e9ba53c1c770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7700" cy="2171700"/>
                          </a:xfrm>
                          <a:prstGeom prst="rect">
                            <a:avLst/>
                          </a:prstGeom>
                          <a:noFill/>
                          <a:ln>
                            <a:noFill/>
                          </a:ln>
                        </pic:spPr>
                      </pic:pic>
                    </a:graphicData>
                  </a:graphic>
                </wp:inline>
              </w:drawing>
            </w:r>
          </w:p>
          <w:p w:rsidR="00000000" w:rsidRDefault="00501E77">
            <w:pPr>
              <w:pStyle w:val="Normlnywebov"/>
            </w:pPr>
            <w:r>
              <w:rPr>
                <w:rStyle w:val="Zvraznenie"/>
              </w:rPr>
              <w:t>Obrázok 7 Aplikačné moduly IS DEI</w:t>
            </w:r>
          </w:p>
        </w:tc>
      </w:tr>
      <w:tr w:rsidR="00000000">
        <w:trPr>
          <w:divId w:val="1086880504"/>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Popis jednotlivých aplikačných modulov, ktoré budú nasadzované je uvedený v prílohe tejto štúdie (P.5 Architekt</w:t>
            </w:r>
            <w:r>
              <w:t>úra informačných systémov). Napriek tomu, že aplikačná architektúra je vyskladaná z jednotlivých modulov, implementáciu riešenia nie je možné atomizovať a dodávať izolovane samostatné moduly. Jednotlivé procesy sú vo svojej podstate realizované viacerými m</w:t>
            </w:r>
            <w:r>
              <w:t>odulmi a takáto dodávka by bola len veľmi ťažko realizovateľná, resp. vyžiadala by si neúmerne vysoké náklady na integrácie parciálnych riešení. Dodávku a nasadenie modulov do produkčnej prevádzky v jednom čase je potrebné realizovať aj pre zabezpečenie ko</w:t>
            </w:r>
            <w:r>
              <w:t xml:space="preserve">nzistencie a riadenia na sebe závislých a podporujúcich sa procesov, údajov a väzieb, ktoré sú v rámci systému vnútorne úzko previazané. Z dôvodu zabezpečenia dôveryhodnosti certifikátov je nevyhnutné, aby časti pre automatizovanú certifikáciu (jednotlivé </w:t>
            </w:r>
            <w:r>
              <w:t>zásuvné moduly) boli oddelené od ostatných modulov a bola prísne dodržiavaná úroveň a prostriedky pre autentifikáciu a autorizáciu prístupu. Z dôvodu ochrany osobných údajov je nevyhnutné, aby jediné miesto, kde sú osobné údaje ukladané, bol modul pre prof</w:t>
            </w:r>
            <w:r>
              <w:t>iláciu, pričom v ostatných častiach a databázach sú referencie na osobu vedené výlučne v tvare SID, ktorý je rezolvovateľný výhradne modulom pre profiláciu. Modul pre profiláciu musí byť pripravený na prechod na SID/SIFO v okamihu, kedy vznikne centrálne r</w:t>
            </w:r>
            <w:r>
              <w:t>iešenie štátu pre IFO. V prípade potreby platieb za certifikovanie systém nebude mať vlastný modul ale bude využívať existujúcu infraštruktúru ÚPVS/IS PEP.</w:t>
            </w:r>
          </w:p>
          <w:p w:rsidR="00000000" w:rsidRDefault="00501E77">
            <w:pPr>
              <w:divId w:val="27872889"/>
              <w:rPr>
                <w:rFonts w:eastAsia="Times New Roman"/>
              </w:rPr>
            </w:pPr>
          </w:p>
          <w:p w:rsidR="00000000" w:rsidRDefault="00501E77">
            <w:pPr>
              <w:divId w:val="534655381"/>
              <w:rPr>
                <w:rFonts w:eastAsia="Times New Roman"/>
              </w:rPr>
            </w:pPr>
            <w:r>
              <w:rPr>
                <w:rFonts w:eastAsia="Times New Roman"/>
                <w:noProof/>
              </w:rPr>
              <w:drawing>
                <wp:inline distT="0" distB="0" distL="0" distR="0">
                  <wp:extent cx="4457700" cy="2905125"/>
                  <wp:effectExtent l="0" t="0" r="0" b="9525"/>
                  <wp:docPr id="12" name="Obrázok 12" descr="C:\00e2ed07175aacf9451857726a7e8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0e2ed07175aacf9451857726a7e86b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rsidR="00000000" w:rsidRDefault="00501E77">
            <w:pPr>
              <w:divId w:val="775712363"/>
              <w:rPr>
                <w:rFonts w:eastAsia="Times New Roman"/>
              </w:rPr>
            </w:pPr>
            <w:r>
              <w:rPr>
                <w:rStyle w:val="Zvraznenie"/>
                <w:rFonts w:eastAsia="Times New Roman"/>
              </w:rPr>
              <w:t>Obrázok 8 Aplikačná architektúra IS DEI</w:t>
            </w:r>
            <w:r>
              <w:rPr>
                <w:rFonts w:eastAsia="Times New Roman"/>
              </w:rPr>
              <w:t xml:space="preserve"> </w:t>
            </w:r>
          </w:p>
          <w:p w:rsidR="00000000" w:rsidRDefault="00501E77">
            <w:pPr>
              <w:divId w:val="914783238"/>
              <w:rPr>
                <w:rFonts w:eastAsia="Times New Roman"/>
              </w:rPr>
            </w:pPr>
          </w:p>
          <w:p w:rsidR="00000000" w:rsidRDefault="00501E77">
            <w:pPr>
              <w:divId w:val="410347646"/>
              <w:rPr>
                <w:rFonts w:eastAsia="Times New Roman"/>
              </w:rPr>
            </w:pPr>
            <w:r>
              <w:rPr>
                <w:rFonts w:eastAsia="Times New Roman"/>
              </w:rPr>
              <w:t>Systém DEI bude mať vybudované rozhranie pre systémy na</w:t>
            </w:r>
            <w:r>
              <w:rPr>
                <w:rFonts w:eastAsia="Times New Roman"/>
              </w:rPr>
              <w:t xml:space="preserve"> </w:t>
            </w:r>
            <w:r>
              <w:rPr>
                <w:rStyle w:val="inline-comment-marker"/>
                <w:rFonts w:eastAsia="Times New Roman"/>
              </w:rPr>
              <w:t>ÚPSVaR (ISTP a ISSZ</w:t>
            </w:r>
            <w:r>
              <w:rPr>
                <w:rStyle w:val="inline-comment-marker"/>
                <w:rFonts w:eastAsia="Times New Roman"/>
              </w:rPr>
              <w:t>)</w:t>
            </w:r>
            <w:r>
              <w:rPr>
                <w:rFonts w:eastAsia="Times New Roman"/>
              </w:rPr>
              <w:t xml:space="preserve"> z dôvodu prípadného sprístup</w:t>
            </w:r>
            <w:r>
              <w:rPr>
                <w:rFonts w:eastAsia="Times New Roman"/>
              </w:rPr>
              <w:t>ňovania príslušných komponentov DEI a synchronizácie údajov medzi systémami ÚPSVaR a DEI (profily, certifikáty, kurzy a podobne). Systém DEI bude integrovateľný s ostatnými systémami prostredníctvom integrácie so zbernicou procesnej integrácie (procesná zb</w:t>
            </w:r>
            <w:r>
              <w:rPr>
                <w:rFonts w:eastAsia="Times New Roman"/>
              </w:rPr>
              <w:t>ernica) a integrície údajov (zbernica pre integráciu údajov. Prostredníctvom týchto integrácií bude pristupovať najmä k referenčným údajom, napríklad bude pristupovať k údajom o fyzických osobách pre stotožňovanie osäb a pre správne vypĺňanie údajov na cer</w:t>
            </w:r>
            <w:r>
              <w:rPr>
                <w:rFonts w:eastAsia="Times New Roman"/>
              </w:rPr>
              <w:t xml:space="preserve">tifikátoch. Takisto bude integrovaný na ÚPVS, najmä pre komunikáciu prostredníctvom elektronických schránok, centrálne úradné doručovanie a platby za certifikácie. Bude pripravený tak, aby bol pripojiteľný aj na ďalšie integračné platformy štátu (API GW a </w:t>
            </w:r>
            <w:r>
              <w:rPr>
                <w:rFonts w:eastAsia="Times New Roman"/>
              </w:rPr>
              <w:t>podobne) tak, aby mohli byť zdielané údaje z registra certifikátov pre potreby iných OVM (v zmysle princípu jeden krát a dosť) a aby mohli byť sprístupnené vlastníkom jednotlivých certifikátov ( v zmysle princípu moje údaje). Takisto bude vytvorená funkcio</w:t>
            </w:r>
            <w:r>
              <w:rPr>
                <w:rFonts w:eastAsia="Times New Roman"/>
              </w:rPr>
              <w:t>nalita, zabezpečujúca generovanie datasetov ( v zmysle princípu open data), a to napríklad početnosť certifikátov, časové rozloženie, rozloženie po lokalitách, početnosť v jednotlivých úrovniach a podobne) a pre potreby následných analýz a reportov. Ďalšie</w:t>
            </w:r>
            <w:r>
              <w:rPr>
                <w:rFonts w:eastAsia="Times New Roman"/>
              </w:rPr>
              <w:t xml:space="preserve"> integrácie budú zahŕňať aj prepojenia na spoločné moduly riešené v rámci architektúry eGovernmentu. Detaily týchto integrácií budú predmetom analýzy a vypracovania detailnej funkčnej špecifikácie, nakoľko v čase realizácie týchto krokov a výstupov bude po</w:t>
            </w:r>
            <w:r>
              <w:rPr>
                <w:rFonts w:eastAsia="Times New Roman"/>
              </w:rPr>
              <w:t xml:space="preserve">trebné vychádzať z aktuálnej legislatívy a zohľadniť možnosti a potreby zmien na strane tretích systémov, ktoré s ohľadom na dĺžku trvania projektu môžu medzičasom pribúdať, ubúdať, alebo sa meniť. </w:t>
            </w:r>
          </w:p>
          <w:p w:rsidR="00000000" w:rsidRDefault="00501E77">
            <w:pPr>
              <w:divId w:val="1248465898"/>
              <w:rPr>
                <w:rFonts w:eastAsia="Times New Roman"/>
              </w:rPr>
            </w:pPr>
            <w:r>
              <w:rPr>
                <w:rFonts w:eastAsia="Times New Roman"/>
              </w:rPr>
              <w:t>Moduly Modul pre profiláciu a Modul certifikácií budú bud</w:t>
            </w:r>
            <w:r>
              <w:rPr>
                <w:rFonts w:eastAsia="Times New Roman"/>
              </w:rPr>
              <w:t xml:space="preserve">ované tak, aby mohli byť použité ako centrálne komponenty. </w:t>
            </w:r>
          </w:p>
        </w:tc>
      </w:tr>
      <w:tr w:rsidR="00000000">
        <w:trPr>
          <w:divId w:val="1086880504"/>
          <w:cantSplit/>
          <w:tblCellSpacing w:w="15" w:type="dxa"/>
        </w:trPr>
        <w:tc>
          <w:tcPr>
            <w:tcW w:w="0" w:type="auto"/>
            <w:vAlign w:val="center"/>
            <w:hideMark/>
          </w:tcPr>
          <w:p w:rsidR="00000000" w:rsidRDefault="00501E77">
            <w:pPr>
              <w:pStyle w:val="Normlnywebov"/>
            </w:pPr>
            <w:r>
              <w:rPr>
                <w:rStyle w:val="Siln"/>
              </w:rPr>
              <w:t>Kritéria kvality</w:t>
            </w:r>
          </w:p>
          <w:p w:rsidR="00000000" w:rsidRDefault="00501E77">
            <w:pPr>
              <w:pStyle w:val="Normlnywebov"/>
            </w:pPr>
            <w:r>
              <w:sym w:font="Symbol" w:char="F0A7"/>
            </w:r>
            <w:r>
              <w:t xml:space="preserve"> Miera flexibility riešenia</w:t>
            </w:r>
            <w:r>
              <w:br/>
            </w:r>
            <w:r>
              <w:sym w:font="Symbol" w:char="F0A7"/>
            </w:r>
            <w:r>
              <w:t xml:space="preserve"> Vnútorná integrácia modulov - procesná integrácia a integrácia údajov pre všetky moduly riešenia (eliminácia potreby dávkovej výmeny údajov)</w:t>
            </w:r>
            <w:r>
              <w:br/>
            </w:r>
            <w:r>
              <w:sym w:font="Symbol" w:char="F0A7"/>
            </w:r>
            <w:r>
              <w:t xml:space="preserve"> Mie</w:t>
            </w:r>
            <w:r>
              <w:t>ra inovatívnosti riešenia (využitie najnovších technológií, automatizácia procesov, elektronizácia dokumentov a pod.)</w:t>
            </w:r>
            <w:r>
              <w:br/>
            </w:r>
            <w:r>
              <w:sym w:font="Symbol" w:char="F0A7"/>
            </w:r>
            <w:r>
              <w:t xml:space="preserve"> Možnosť využitia mobilných zariadení</w:t>
            </w:r>
            <w:r>
              <w:br/>
            </w:r>
            <w:r>
              <w:sym w:font="Symbol" w:char="F0A7"/>
            </w:r>
            <w:r>
              <w:t xml:space="preserve"> Úroveň cloudových služieb SaaS </w:t>
            </w:r>
            <w:r>
              <w:br/>
            </w:r>
            <w:r>
              <w:sym w:font="Symbol" w:char="F0A7"/>
            </w:r>
            <w:r>
              <w:t xml:space="preserve"> Jednotný dátový model</w:t>
            </w:r>
            <w:r>
              <w:br/>
            </w:r>
            <w:r>
              <w:sym w:font="Symbol" w:char="F0A7"/>
            </w:r>
            <w:r>
              <w:t xml:space="preserve"> Rýchlosť spracovania operácií</w:t>
            </w:r>
            <w:r>
              <w:br/>
            </w:r>
            <w:r>
              <w:sym w:font="Symbol" w:char="F0A7"/>
            </w:r>
            <w:r>
              <w:t xml:space="preserve"> Komfort</w:t>
            </w:r>
            <w:r>
              <w:t xml:space="preserve"> užívateľského rozhrania</w:t>
            </w:r>
          </w:p>
        </w:tc>
        <w:tc>
          <w:tcPr>
            <w:tcW w:w="0" w:type="auto"/>
            <w:vAlign w:val="center"/>
            <w:hideMark/>
          </w:tcPr>
          <w:p w:rsidR="00000000" w:rsidRDefault="00501E77">
            <w:pPr>
              <w:pStyle w:val="Normlnywebov"/>
            </w:pPr>
            <w:r>
              <w:rPr>
                <w:rStyle w:val="Siln"/>
              </w:rPr>
              <w:t>Spresnenie kritérií kvality:</w:t>
            </w:r>
            <w:r>
              <w:t xml:space="preserve"> </w:t>
            </w:r>
            <w:r>
              <w:br/>
              <w:t>QI_01, QI_02, QI_03, QI_04, QI_05, QI_16, QI_07, QI_08</w:t>
            </w:r>
          </w:p>
        </w:tc>
      </w:tr>
      <w:tr w:rsidR="00000000">
        <w:trPr>
          <w:divId w:val="1086880504"/>
          <w:cantSplit/>
          <w:tblCellSpacing w:w="15" w:type="dxa"/>
        </w:trPr>
        <w:tc>
          <w:tcPr>
            <w:tcW w:w="0" w:type="auto"/>
            <w:vAlign w:val="center"/>
            <w:hideMark/>
          </w:tcPr>
          <w:p w:rsidR="00000000" w:rsidRDefault="00501E77">
            <w:pPr>
              <w:pStyle w:val="Normlnywebov"/>
            </w:pPr>
            <w:r>
              <w:rPr>
                <w:rStyle w:val="Siln"/>
              </w:rPr>
              <w:t>Riziká</w:t>
            </w:r>
          </w:p>
          <w:p w:rsidR="00000000" w:rsidRDefault="00501E77">
            <w:pPr>
              <w:pStyle w:val="Normlnywebov"/>
            </w:pPr>
            <w:r>
              <w:sym w:font="Symbol" w:char="F0A7"/>
            </w:r>
            <w:r>
              <w:t xml:space="preserve"> Nepripravenosť externých systémov na integráciu</w:t>
            </w:r>
            <w:r>
              <w:br/>
            </w:r>
            <w:r>
              <w:sym w:font="Symbol" w:char="F0A7"/>
            </w:r>
            <w:r>
              <w:t xml:space="preserve"> </w:t>
            </w:r>
            <w:r>
              <w:rPr>
                <w:rStyle w:val="inline-comment-marker"/>
              </w:rPr>
              <w:t>Závislosť na existujúcich systémoch tretích strá</w:t>
            </w:r>
            <w:r>
              <w:rPr>
                <w:rStyle w:val="inline-comment-marker"/>
              </w:rPr>
              <w:t>n</w:t>
            </w:r>
            <w:r>
              <w:br/>
            </w:r>
            <w:r>
              <w:sym w:font="Symbol" w:char="F0A7"/>
            </w:r>
            <w:r>
              <w:t xml:space="preserve"> Zmena centrálnej architektúry IISV</w:t>
            </w:r>
            <w:r>
              <w:t>S</w:t>
            </w:r>
          </w:p>
        </w:tc>
        <w:tc>
          <w:tcPr>
            <w:tcW w:w="0" w:type="auto"/>
            <w:vAlign w:val="center"/>
            <w:hideMark/>
          </w:tcPr>
          <w:p w:rsidR="00000000" w:rsidRDefault="00501E77">
            <w:pPr>
              <w:pStyle w:val="Normlnywebov"/>
            </w:pPr>
            <w:r>
              <w:rPr>
                <w:rStyle w:val="Siln"/>
              </w:rPr>
              <w:t>Spresnenie identifikovaných rizík:</w:t>
            </w:r>
            <w:r>
              <w:t xml:space="preserve"> </w:t>
            </w:r>
            <w:r>
              <w:br/>
              <w:t>RI_01, RI_02, RI_03</w:t>
            </w:r>
          </w:p>
        </w:tc>
      </w:tr>
      <w:tr w:rsidR="00000000">
        <w:trPr>
          <w:divId w:val="1086880504"/>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1086880504"/>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4"/>
        <w:rPr>
          <w:rFonts w:eastAsia="Times New Roman"/>
        </w:rPr>
      </w:pPr>
      <w:r>
        <w:rPr>
          <w:rFonts w:eastAsia="Times New Roman"/>
        </w:rPr>
        <w:t>Technologická architektúra</w:t>
      </w:r>
    </w:p>
    <w:p w:rsidR="00000000" w:rsidRDefault="00501E77">
      <w:pPr>
        <w:pStyle w:val="Normlnywebov"/>
      </w:pPr>
      <w:r>
        <w:rPr>
          <w:rStyle w:val="Zvraznenie"/>
        </w:rPr>
        <w:t>Tabuľka 13 Technologická architektúra - budúci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535192267"/>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1535192267"/>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Riešenie predpokladá využitie vládneho cloudu v režime IaaS a PaaS. Riešenie nepredpokladá žiadne vlastné zariadenia s výnimkou nosičov prístupových kódov pre certifikovaných partnerov, pričom tu existuje alternatíva prístupu cez eID jednotlivých zaregistr</w:t>
            </w:r>
            <w:r>
              <w:t>ovaných oprávnených zamestnancov na strane partnerov. Táto alternatíva však nie je najvhodnejšia z dôvodu naviazanosti pracovnej činnosti na súkromné prostriedky. Z dôvodu optimalizácie administrácie a zvýšenia bezpečnosti pre pracovné plochy úradníkov a a</w:t>
            </w:r>
            <w:r>
              <w:t>kreditovaných certifikačných partnerov by mala byť použitá technológia Remote Desktop.</w:t>
            </w:r>
          </w:p>
        </w:tc>
      </w:tr>
      <w:tr w:rsidR="00000000">
        <w:trPr>
          <w:divId w:val="1535192267"/>
          <w:cantSplit/>
          <w:tblCellSpacing w:w="15" w:type="dxa"/>
        </w:trPr>
        <w:tc>
          <w:tcPr>
            <w:tcW w:w="0" w:type="auto"/>
            <w:gridSpan w:val="2"/>
            <w:vAlign w:val="center"/>
            <w:hideMark/>
          </w:tcPr>
          <w:p w:rsidR="00000000" w:rsidRDefault="00501E77">
            <w:pPr>
              <w:pStyle w:val="Normlnywebov"/>
            </w:pPr>
            <w:r>
              <w:rPr>
                <w:rStyle w:val="inline-comment-marker"/>
                <w:i/>
                <w:iCs/>
              </w:rPr>
              <w:t>Priestor pre sumárny obrázok: ArchiMate štandardný viewpoint – „Infrastructure Usage Viewpoint", „Infrastructure Viewpoint</w:t>
            </w:r>
            <w:r>
              <w:rPr>
                <w:rStyle w:val="inline-comment-marker"/>
                <w:i/>
                <w:iCs/>
              </w:rPr>
              <w:t>"</w:t>
            </w:r>
          </w:p>
          <w:p w:rsidR="00000000" w:rsidRDefault="00501E77">
            <w:pPr>
              <w:pStyle w:val="Normlnywebov"/>
            </w:pPr>
            <w:r>
              <w:rPr>
                <w:noProof/>
              </w:rPr>
              <w:drawing>
                <wp:inline distT="0" distB="0" distL="0" distR="0">
                  <wp:extent cx="4457700" cy="2800350"/>
                  <wp:effectExtent l="0" t="0" r="0" b="0"/>
                  <wp:docPr id="13" name="Obrázok 13" descr="C:\24a9530b7462ad816f8ef7143e72b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4a9530b7462ad816f8ef7143e72b3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700" cy="2800350"/>
                          </a:xfrm>
                          <a:prstGeom prst="rect">
                            <a:avLst/>
                          </a:prstGeom>
                          <a:noFill/>
                          <a:ln>
                            <a:noFill/>
                          </a:ln>
                        </pic:spPr>
                      </pic:pic>
                    </a:graphicData>
                  </a:graphic>
                </wp:inline>
              </w:drawing>
            </w:r>
          </w:p>
          <w:p w:rsidR="00000000" w:rsidRDefault="00501E77">
            <w:pPr>
              <w:pStyle w:val="Normlnywebov"/>
            </w:pPr>
            <w:r>
              <w:rPr>
                <w:rStyle w:val="Zvraznenie"/>
              </w:rPr>
              <w:t>Obrázok 9 Technologická architektúra DEI</w:t>
            </w:r>
          </w:p>
        </w:tc>
      </w:tr>
      <w:tr w:rsidR="00000000">
        <w:trPr>
          <w:divId w:val="1535192267"/>
          <w:cantSplit/>
          <w:tblCellSpacing w:w="15" w:type="dxa"/>
        </w:trPr>
        <w:tc>
          <w:tcPr>
            <w:tcW w:w="0" w:type="auto"/>
            <w:gridSpan w:val="2"/>
            <w:vAlign w:val="center"/>
            <w:hideMark/>
          </w:tcPr>
          <w:p w:rsidR="00000000" w:rsidRDefault="00501E77">
            <w:pPr>
              <w:rPr>
                <w:rFonts w:eastAsia="Times New Roman"/>
              </w:rPr>
            </w:pPr>
            <w:r>
              <w:rPr>
                <w:rFonts w:eastAsia="Times New Roman"/>
              </w:rPr>
              <w:t> </w:t>
            </w:r>
          </w:p>
        </w:tc>
      </w:tr>
      <w:tr w:rsidR="00000000">
        <w:trPr>
          <w:divId w:val="1535192267"/>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Návrh technického riešenia DEI predpokladá:</w:t>
            </w:r>
          </w:p>
          <w:p w:rsidR="00000000" w:rsidRDefault="00501E77">
            <w:pPr>
              <w:numPr>
                <w:ilvl w:val="0"/>
                <w:numId w:val="27"/>
              </w:numPr>
              <w:spacing w:before="100" w:beforeAutospacing="1" w:after="100" w:afterAutospacing="1"/>
              <w:rPr>
                <w:rFonts w:eastAsia="Times New Roman"/>
              </w:rPr>
            </w:pPr>
            <w:r>
              <w:rPr>
                <w:rFonts w:eastAsia="Times New Roman"/>
              </w:rPr>
              <w:t>Prostredie o</w:t>
            </w:r>
            <w:r>
              <w:rPr>
                <w:rFonts w:eastAsia="Times New Roman"/>
              </w:rPr>
              <w:t>peračného systému: niektoré dostupné z vládneho cloudu;</w:t>
            </w:r>
          </w:p>
          <w:p w:rsidR="00000000" w:rsidRDefault="00501E77">
            <w:pPr>
              <w:numPr>
                <w:ilvl w:val="0"/>
                <w:numId w:val="27"/>
              </w:numPr>
              <w:spacing w:before="100" w:beforeAutospacing="1" w:after="100" w:afterAutospacing="1"/>
              <w:rPr>
                <w:rFonts w:eastAsia="Times New Roman"/>
              </w:rPr>
            </w:pPr>
            <w:r>
              <w:rPr>
                <w:rFonts w:eastAsia="Times New Roman"/>
              </w:rPr>
              <w:t xml:space="preserve">Riešenie by malo byť 3 úrovňové, rozdelené do samostatných vrstiev oddelených Firewallmi: </w:t>
            </w:r>
          </w:p>
          <w:p w:rsidR="00000000" w:rsidRDefault="00501E77">
            <w:pPr>
              <w:numPr>
                <w:ilvl w:val="1"/>
                <w:numId w:val="27"/>
              </w:numPr>
              <w:spacing w:before="100" w:beforeAutospacing="1" w:after="100" w:afterAutospacing="1"/>
              <w:rPr>
                <w:rFonts w:eastAsia="Times New Roman"/>
              </w:rPr>
            </w:pPr>
            <w:r>
              <w:rPr>
                <w:rFonts w:eastAsia="Times New Roman"/>
              </w:rPr>
              <w:t>Webová</w:t>
            </w:r>
          </w:p>
          <w:p w:rsidR="00000000" w:rsidRDefault="00501E77">
            <w:pPr>
              <w:numPr>
                <w:ilvl w:val="1"/>
                <w:numId w:val="27"/>
              </w:numPr>
              <w:spacing w:before="100" w:beforeAutospacing="1" w:after="100" w:afterAutospacing="1"/>
              <w:rPr>
                <w:rFonts w:eastAsia="Times New Roman"/>
              </w:rPr>
            </w:pPr>
            <w:r>
              <w:rPr>
                <w:rFonts w:eastAsia="Times New Roman"/>
              </w:rPr>
              <w:t>Aplikačná</w:t>
            </w:r>
          </w:p>
          <w:p w:rsidR="00000000" w:rsidRDefault="00501E77">
            <w:pPr>
              <w:numPr>
                <w:ilvl w:val="1"/>
                <w:numId w:val="27"/>
              </w:numPr>
              <w:spacing w:before="100" w:beforeAutospacing="1" w:after="240"/>
              <w:rPr>
                <w:rFonts w:eastAsia="Times New Roman"/>
              </w:rPr>
            </w:pPr>
            <w:r>
              <w:rPr>
                <w:rFonts w:eastAsia="Times New Roman"/>
              </w:rPr>
              <w:t>Databázová.</w:t>
            </w:r>
          </w:p>
          <w:p w:rsidR="00000000" w:rsidRDefault="00501E77">
            <w:pPr>
              <w:pStyle w:val="Normlnywebov"/>
            </w:pPr>
            <w:r>
              <w:t>Aplikačnú a webovú vrstvu budú okrem samotných virtuálnych serverov tvoriť aj prvky pre zabezpečenie rozdelenia výkonu a zvýšenie dostupnosti (load balancery), dostupnosť databázovej vrstvy bude zabezpečená klastrovaním serverov.</w:t>
            </w:r>
          </w:p>
          <w:p w:rsidR="00000000" w:rsidRDefault="00501E77">
            <w:pPr>
              <w:pStyle w:val="Normlnywebov"/>
            </w:pPr>
            <w:r>
              <w:t>Riešenie bude pripojené do</w:t>
            </w:r>
            <w:r>
              <w:t xml:space="preserve"> internetu a do Govnetu</w:t>
            </w:r>
          </w:p>
          <w:p w:rsidR="00000000" w:rsidRDefault="00501E77">
            <w:pPr>
              <w:pStyle w:val="Normlnywebov"/>
            </w:pPr>
            <w:r>
              <w:t> </w:t>
            </w:r>
          </w:p>
        </w:tc>
      </w:tr>
      <w:tr w:rsidR="00000000">
        <w:trPr>
          <w:divId w:val="1535192267"/>
          <w:cantSplit/>
          <w:tblCellSpacing w:w="15" w:type="dxa"/>
        </w:trPr>
        <w:tc>
          <w:tcPr>
            <w:tcW w:w="0" w:type="auto"/>
            <w:vAlign w:val="center"/>
            <w:hideMark/>
          </w:tcPr>
          <w:p w:rsidR="00000000" w:rsidRDefault="00501E77">
            <w:pPr>
              <w:pStyle w:val="Normlnywebov"/>
            </w:pPr>
            <w:r>
              <w:rPr>
                <w:rStyle w:val="Siln"/>
              </w:rPr>
              <w:t>Kritéria kvality</w:t>
            </w:r>
          </w:p>
          <w:p w:rsidR="00000000" w:rsidRDefault="00501E77">
            <w:pPr>
              <w:pStyle w:val="Normlnywebov"/>
            </w:pPr>
            <w:r>
              <w:sym w:font="Symbol" w:char="F0A7"/>
            </w:r>
            <w:r>
              <w:t xml:space="preserve"> Jednoduchosť a rýchlosť prihlásenia používateľov</w:t>
            </w:r>
            <w:r>
              <w:br/>
            </w:r>
            <w:r>
              <w:sym w:font="Symbol" w:char="F0A7"/>
            </w:r>
            <w:r>
              <w:t xml:space="preserve"> Cloudové riešenie</w:t>
            </w:r>
            <w:r>
              <w:br/>
            </w:r>
            <w:r>
              <w:sym w:font="Symbol" w:char="F0A7"/>
            </w:r>
            <w:r>
              <w:t xml:space="preserve"> Správa používateľov</w:t>
            </w:r>
            <w:r>
              <w:br/>
            </w:r>
            <w:r>
              <w:sym w:font="Symbol" w:char="F0A7"/>
            </w:r>
            <w:r>
              <w:t xml:space="preserve"> Rýchla odozva systému pri maximálnom zaťažení</w:t>
            </w:r>
            <w:r>
              <w:br/>
            </w:r>
            <w:r>
              <w:sym w:font="Symbol" w:char="F0A7"/>
            </w:r>
            <w:r>
              <w:t xml:space="preserve"> Konzistencia údajov bez možnosti neodhaliteľnej manipulácie s údajmi</w:t>
            </w:r>
          </w:p>
        </w:tc>
        <w:tc>
          <w:tcPr>
            <w:tcW w:w="0" w:type="auto"/>
            <w:vAlign w:val="center"/>
            <w:hideMark/>
          </w:tcPr>
          <w:p w:rsidR="00000000" w:rsidRDefault="00501E77">
            <w:pPr>
              <w:pStyle w:val="Normlnywebov"/>
            </w:pPr>
            <w:r>
              <w:rPr>
                <w:rStyle w:val="Siln"/>
              </w:rPr>
              <w:t>Spresnenie kritérií kvality: </w:t>
            </w:r>
          </w:p>
          <w:p w:rsidR="00000000" w:rsidRDefault="00501E77">
            <w:pPr>
              <w:pStyle w:val="Normlnywebov"/>
            </w:pPr>
            <w:r>
              <w:t>QT_01, QT_02, QT_03, QT_04, QT_05</w:t>
            </w:r>
          </w:p>
        </w:tc>
      </w:tr>
      <w:tr w:rsidR="00000000">
        <w:trPr>
          <w:divId w:val="1535192267"/>
          <w:cantSplit/>
          <w:tblCellSpacing w:w="15" w:type="dxa"/>
        </w:trPr>
        <w:tc>
          <w:tcPr>
            <w:tcW w:w="0" w:type="auto"/>
            <w:vAlign w:val="center"/>
            <w:hideMark/>
          </w:tcPr>
          <w:p w:rsidR="00000000" w:rsidRDefault="00501E77">
            <w:pPr>
              <w:pStyle w:val="Normlnywebov"/>
            </w:pPr>
            <w:r>
              <w:t> </w:t>
            </w:r>
            <w:r>
              <w:rPr>
                <w:rStyle w:val="Siln"/>
              </w:rPr>
              <w:t>Riziká</w:t>
            </w:r>
          </w:p>
          <w:p w:rsidR="00000000" w:rsidRDefault="00501E77">
            <w:pPr>
              <w:pStyle w:val="Normlnywebov"/>
            </w:pPr>
            <w:r>
              <w:sym w:font="Symbol" w:char="F0A7"/>
            </w:r>
            <w:r>
              <w:t xml:space="preserve"> Nedostupnosť cloudových služieb</w:t>
            </w:r>
            <w:r>
              <w:br/>
            </w:r>
            <w:r>
              <w:sym w:font="Symbol" w:char="F0A7"/>
            </w:r>
            <w:r>
              <w:t xml:space="preserve"> Neuspokojivá škálovateľnosť riešenia</w:t>
            </w:r>
            <w:r>
              <w:br/>
            </w:r>
            <w:r>
              <w:sym w:font="Symbol" w:char="F0A7"/>
            </w:r>
            <w:r>
              <w:t xml:space="preserve"> Nízka kvalita služieb dohodnutých v SLA</w:t>
            </w:r>
          </w:p>
        </w:tc>
        <w:tc>
          <w:tcPr>
            <w:tcW w:w="0" w:type="auto"/>
            <w:vAlign w:val="center"/>
            <w:hideMark/>
          </w:tcPr>
          <w:p w:rsidR="00000000" w:rsidRDefault="00501E77">
            <w:pPr>
              <w:pStyle w:val="Normlnywebov"/>
            </w:pPr>
            <w:r>
              <w:rPr>
                <w:rStyle w:val="Siln"/>
              </w:rPr>
              <w:t>Spresnenie identifikovaných rizík: </w:t>
            </w:r>
          </w:p>
          <w:p w:rsidR="00000000" w:rsidRDefault="00501E77">
            <w:pPr>
              <w:pStyle w:val="Normlnywebov"/>
            </w:pPr>
            <w:r>
              <w:t>RT_01, RT_02, RT_03</w:t>
            </w:r>
          </w:p>
        </w:tc>
      </w:tr>
      <w:tr w:rsidR="00000000">
        <w:trPr>
          <w:divId w:val="1535192267"/>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w:t>
            </w:r>
            <w:r>
              <w:rPr>
                <w:rStyle w:val="Siln"/>
              </w:rPr>
              <w:t>agramy, modely, obrázky v plnom rozlíšení</w:t>
            </w:r>
          </w:p>
        </w:tc>
      </w:tr>
      <w:tr w:rsidR="00000000">
        <w:trPr>
          <w:divId w:val="1535192267"/>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sym w:font="Symbol" w:char="F0A7"/>
            </w:r>
            <w:r>
              <w:t xml:space="preserve"> Tabuľka 1 Zoznam zvolených služieb</w:t>
            </w:r>
            <w:r>
              <w:br/>
            </w:r>
            <w:r>
              <w:sym w:font="Symbol" w:char="F0A7"/>
            </w:r>
            <w:r>
              <w:t xml:space="preserve"> Tabuľka 2 Riziká</w:t>
            </w:r>
            <w:r>
              <w:br/>
            </w:r>
            <w:r>
              <w:sym w:font="Symbol" w:char="F0A7"/>
            </w:r>
            <w:r>
              <w:t xml:space="preserve"> Tabuľka 3 Kritéria kvality</w:t>
            </w:r>
          </w:p>
        </w:tc>
        <w:tc>
          <w:tcPr>
            <w:tcW w:w="0" w:type="auto"/>
            <w:vAlign w:val="center"/>
            <w:hideMark/>
          </w:tcPr>
          <w:p w:rsidR="00000000" w:rsidRDefault="00501E77">
            <w:pPr>
              <w:pStyle w:val="Normlnywebov"/>
            </w:pPr>
            <w:r>
              <w:rPr>
                <w:rStyle w:val="Zvraznenie"/>
              </w:rPr>
              <w:t>Odkazy na relevantné súbory. Prílohy obsahujú informácie vo f</w:t>
            </w:r>
            <w:r>
              <w:rPr>
                <w:rStyle w:val="Zvraznenie"/>
              </w:rPr>
              <w:t>orme modelov.</w:t>
            </w:r>
          </w:p>
        </w:tc>
      </w:tr>
    </w:tbl>
    <w:p w:rsidR="00000000" w:rsidRDefault="00501E77">
      <w:pPr>
        <w:pStyle w:val="Nadpis4"/>
        <w:rPr>
          <w:rFonts w:eastAsia="Times New Roman"/>
        </w:rPr>
      </w:pPr>
      <w:r>
        <w:rPr>
          <w:rFonts w:eastAsia="Times New Roman"/>
        </w:rPr>
        <w:t>Implementácia a migrácia</w:t>
      </w:r>
    </w:p>
    <w:p w:rsidR="00000000" w:rsidRDefault="00501E77">
      <w:pPr>
        <w:pStyle w:val="Normlnywebov"/>
      </w:pPr>
      <w:r>
        <w:rPr>
          <w:rStyle w:val="Zvraznenie"/>
        </w:rPr>
        <w:t>Tabuľka 14 Implementácia a migrácia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396388663"/>
          <w:cantSplit/>
          <w:tblCellSpacing w:w="15" w:type="dxa"/>
        </w:trPr>
        <w:tc>
          <w:tcPr>
            <w:tcW w:w="0" w:type="auto"/>
            <w:gridSpan w:val="2"/>
            <w:vAlign w:val="center"/>
            <w:hideMark/>
          </w:tcPr>
          <w:p w:rsidR="00000000" w:rsidRDefault="00501E77">
            <w:pPr>
              <w:pStyle w:val="Normlnywebov"/>
            </w:pPr>
            <w:r>
              <w:rPr>
                <w:rStyle w:val="inline-comment-marker"/>
                <w:b/>
                <w:bCs/>
              </w:rPr>
              <w:t>Súhrnný popi</w:t>
            </w:r>
            <w:r>
              <w:rPr>
                <w:rStyle w:val="inline-comment-marker"/>
                <w:b/>
                <w:bCs/>
              </w:rPr>
              <w:t>s</w:t>
            </w:r>
          </w:p>
        </w:tc>
      </w:tr>
      <w:tr w:rsidR="00000000">
        <w:trPr>
          <w:divId w:val="1396388663"/>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w:t>
            </w:r>
            <w:r>
              <w:rPr>
                <w:rStyle w:val="Zvraznenie"/>
              </w:rPr>
              <w:t xml:space="preserve"> </w:t>
            </w:r>
            <w:r>
              <w:rPr>
                <w:rStyle w:val="inline-comment-marker"/>
                <w:i/>
                <w:iCs/>
              </w:rPr>
              <w:t>potrebné využiť prílohy</w:t>
            </w:r>
            <w:r>
              <w:rPr>
                <w:rStyle w:val="inline-comment-marker"/>
                <w:i/>
                <w:iCs/>
              </w:rPr>
              <w:t>)</w:t>
            </w:r>
          </w:p>
          <w:p w:rsidR="00000000" w:rsidRDefault="00501E77">
            <w:pPr>
              <w:pStyle w:val="Normlnywebov"/>
            </w:pPr>
            <w:r>
              <w:t>Implementácia DEI bude prebiehať v súčinnosti zapájaných organizácií štátnej správy.</w:t>
            </w:r>
            <w:r>
              <w:t xml:space="preserve"> </w:t>
            </w:r>
            <w:r>
              <w:rPr>
                <w:rStyle w:val="inline-comment-marker"/>
              </w:rPr>
              <w:t>Garant (ÚPPVII) zabezpečí informačný systém, jeho služby a prednastaví procesy, ak CMPP nebude vytvorené mimo rezortu ÚPPVII, v takom prípade informačný systém, jeho služb</w:t>
            </w:r>
            <w:r>
              <w:rPr>
                <w:rStyle w:val="inline-comment-marker"/>
              </w:rPr>
              <w:t>y a procesy bude zabezpečovať táto centrálna autorit</w:t>
            </w:r>
            <w:r>
              <w:rPr>
                <w:rStyle w:val="inline-comment-marker"/>
              </w:rPr>
              <w:t>a</w:t>
            </w:r>
            <w:r>
              <w:t>. Následne sa budú konfigurovať a napĺňať certifikačné testy a bude prebiehať ich pretestovanie.</w:t>
            </w:r>
          </w:p>
          <w:p w:rsidR="00000000" w:rsidRDefault="00501E77">
            <w:pPr>
              <w:pStyle w:val="Normlnywebov"/>
            </w:pPr>
            <w:r>
              <w:t>Plánovaná doba implementácie DEI pokrýva obdobie od</w:t>
            </w:r>
            <w:r>
              <w:t xml:space="preserve"> </w:t>
            </w:r>
            <w:r>
              <w:rPr>
                <w:rStyle w:val="inline-comment-marker"/>
              </w:rPr>
              <w:t>01/2020 do 12/202</w:t>
            </w:r>
            <w:r>
              <w:rPr>
                <w:rStyle w:val="inline-comment-marker"/>
              </w:rPr>
              <w:t>2</w:t>
            </w:r>
            <w:r>
              <w:t>, pričom implementácia DEI sa navrhu</w:t>
            </w:r>
            <w:r>
              <w:t>je realizovať v nasledovných krokoch:</w:t>
            </w:r>
          </w:p>
          <w:p w:rsidR="00000000" w:rsidRDefault="00501E77">
            <w:pPr>
              <w:pStyle w:val="Normlnywebov"/>
            </w:pPr>
            <w: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161940761"/>
                <w:tblCellSpacing w:w="15" w:type="dxa"/>
              </w:trPr>
              <w:tc>
                <w:tcPr>
                  <w:tcW w:w="0" w:type="auto"/>
                  <w:vAlign w:val="center"/>
                  <w:hideMark/>
                </w:tcPr>
                <w:p w:rsidR="00000000" w:rsidRDefault="00501E77">
                  <w:pPr>
                    <w:pStyle w:val="Normlnywebov"/>
                    <w:jc w:val="center"/>
                    <w:rPr>
                      <w:b/>
                      <w:bCs/>
                    </w:rPr>
                  </w:pPr>
                  <w:r>
                    <w:rPr>
                      <w:b/>
                      <w:bCs/>
                    </w:rPr>
                    <w:t>Aktivita</w:t>
                  </w:r>
                </w:p>
              </w:tc>
              <w:tc>
                <w:tcPr>
                  <w:tcW w:w="0" w:type="auto"/>
                  <w:vAlign w:val="center"/>
                  <w:hideMark/>
                </w:tcPr>
                <w:p w:rsidR="00000000" w:rsidRDefault="00501E77">
                  <w:pPr>
                    <w:pStyle w:val="Normlnywebov"/>
                    <w:jc w:val="center"/>
                    <w:rPr>
                      <w:b/>
                      <w:bCs/>
                    </w:rPr>
                  </w:pPr>
                  <w:r>
                    <w:rPr>
                      <w:b/>
                      <w:bCs/>
                    </w:rPr>
                    <w:t>Popis</w:t>
                  </w:r>
                </w:p>
              </w:tc>
            </w:tr>
            <w:tr w:rsidR="00000000">
              <w:trPr>
                <w:divId w:val="161940761"/>
                <w:cantSplit/>
                <w:tblCellSpacing w:w="15" w:type="dxa"/>
              </w:trPr>
              <w:tc>
                <w:tcPr>
                  <w:tcW w:w="0" w:type="auto"/>
                  <w:vAlign w:val="center"/>
                  <w:hideMark/>
                </w:tcPr>
                <w:p w:rsidR="00000000" w:rsidRDefault="00501E77">
                  <w:pPr>
                    <w:numPr>
                      <w:ilvl w:val="0"/>
                      <w:numId w:val="28"/>
                    </w:numPr>
                    <w:spacing w:before="100" w:beforeAutospacing="1" w:after="100" w:afterAutospacing="1"/>
                    <w:jc w:val="center"/>
                    <w:rPr>
                      <w:rFonts w:eastAsia="Times New Roman"/>
                      <w:b/>
                      <w:bCs/>
                    </w:rPr>
                  </w:pPr>
                  <w:r>
                    <w:rPr>
                      <w:rStyle w:val="Siln"/>
                      <w:rFonts w:eastAsia="Times New Roman"/>
                    </w:rPr>
                    <w:t>Analýza a dizajn</w:t>
                  </w:r>
                </w:p>
              </w:tc>
              <w:tc>
                <w:tcPr>
                  <w:tcW w:w="0" w:type="auto"/>
                  <w:vAlign w:val="center"/>
                  <w:hideMark/>
                </w:tcPr>
                <w:p w:rsidR="00000000" w:rsidRDefault="00501E77">
                  <w:pPr>
                    <w:pStyle w:val="Normlnywebov"/>
                  </w:pPr>
                  <w:r>
                    <w:rPr>
                      <w:rStyle w:val="Siln"/>
                    </w:rPr>
                    <w:t> </w:t>
                  </w:r>
                  <w:r>
                    <w:t>52 týždňov ; 01/2020 až 12/2020</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Špecifikácia požiadaviek</w:t>
                  </w:r>
                </w:p>
              </w:tc>
              <w:tc>
                <w:tcPr>
                  <w:tcW w:w="0" w:type="auto"/>
                  <w:vAlign w:val="center"/>
                  <w:hideMark/>
                </w:tcPr>
                <w:p w:rsidR="00000000" w:rsidRDefault="00501E77">
                  <w:pPr>
                    <w:pStyle w:val="Normlnywebov"/>
                  </w:pPr>
                  <w:r>
                    <w:t>Špecifikácia požiadaviek na jednotlivé moduly z ohľadom na princípy IISVS a prvé výstupy projektu Buď KOMPetentný</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xml:space="preserve">   </w:t>
                  </w:r>
                  <w:r>
                    <w:rPr>
                      <w:b/>
                      <w:bCs/>
                    </w:rPr>
                    <w:t>Detailná analýza</w:t>
                  </w:r>
                </w:p>
              </w:tc>
              <w:tc>
                <w:tcPr>
                  <w:tcW w:w="0" w:type="auto"/>
                  <w:vAlign w:val="center"/>
                  <w:hideMark/>
                </w:tcPr>
                <w:p w:rsidR="00000000" w:rsidRDefault="00501E77">
                  <w:pPr>
                    <w:pStyle w:val="Normlnywebov"/>
                  </w:pPr>
                  <w:r>
                    <w:t>Detailná analýza riešenia jednotlivých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Pripomienkovanie analýzy</w:t>
                  </w:r>
                </w:p>
              </w:tc>
              <w:tc>
                <w:tcPr>
                  <w:tcW w:w="0" w:type="auto"/>
                  <w:vAlign w:val="center"/>
                  <w:hideMark/>
                </w:tcPr>
                <w:p w:rsidR="00000000" w:rsidRDefault="00501E77">
                  <w:pPr>
                    <w:pStyle w:val="Normlnywebov"/>
                  </w:pPr>
                  <w:r>
                    <w:t>Proces finálneho pripomienkovania analýzy (priebežné pripomienkovanie predpokladáme v rámci Detailnej analýzy</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Akceptácia analýzy</w:t>
                  </w:r>
                </w:p>
              </w:tc>
              <w:tc>
                <w:tcPr>
                  <w:tcW w:w="0" w:type="auto"/>
                  <w:vAlign w:val="center"/>
                  <w:hideMark/>
                </w:tcPr>
                <w:p w:rsidR="00000000" w:rsidRDefault="00501E77">
                  <w:pPr>
                    <w:pStyle w:val="Normlnywebov"/>
                  </w:pPr>
                  <w:r>
                    <w:t>Proces akceptácie Riadiacim vý</w:t>
                  </w:r>
                  <w:r>
                    <w:t>borom projektu</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Detailná funkčná špecifikácia</w:t>
                  </w:r>
                </w:p>
              </w:tc>
              <w:tc>
                <w:tcPr>
                  <w:tcW w:w="0" w:type="auto"/>
                  <w:vAlign w:val="center"/>
                  <w:hideMark/>
                </w:tcPr>
                <w:p w:rsidR="00000000" w:rsidRDefault="00501E77">
                  <w:pPr>
                    <w:pStyle w:val="Normlnywebov"/>
                  </w:pPr>
                  <w:r>
                    <w:t>Detailná funkčná špecifikácia riešenia jednotlivých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Pripomienkovanie detailnej funkčnej špecifikácie</w:t>
                  </w:r>
                </w:p>
              </w:tc>
              <w:tc>
                <w:tcPr>
                  <w:tcW w:w="0" w:type="auto"/>
                  <w:vAlign w:val="center"/>
                  <w:hideMark/>
                </w:tcPr>
                <w:p w:rsidR="00000000" w:rsidRDefault="00501E77">
                  <w:pPr>
                    <w:pStyle w:val="Normlnywebov"/>
                  </w:pPr>
                  <w:r>
                    <w:t>Proces finálneho pripomienkovania detailnej funkčnej špecifikácie (priebežné pripomienkovanie predpokladáme v rámci Detailnej funkčnej špecifikácie)</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Akceptácia detailnej funkčnej špecifikácie</w:t>
                  </w:r>
                </w:p>
              </w:tc>
              <w:tc>
                <w:tcPr>
                  <w:tcW w:w="0" w:type="auto"/>
                  <w:vAlign w:val="center"/>
                  <w:hideMark/>
                </w:tcPr>
                <w:p w:rsidR="00000000" w:rsidRDefault="00501E77">
                  <w:pPr>
                    <w:pStyle w:val="Normlnywebov"/>
                  </w:pPr>
                  <w:r>
                    <w:t>Proces akceptácie Riadiacim výborom projektu</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rStyle w:val="Siln"/>
                    </w:rPr>
                    <w:t>2. Implementác</w:t>
                  </w:r>
                  <w:r>
                    <w:rPr>
                      <w:rStyle w:val="Siln"/>
                    </w:rPr>
                    <w:t>ia</w:t>
                  </w:r>
                </w:p>
              </w:tc>
              <w:tc>
                <w:tcPr>
                  <w:tcW w:w="0" w:type="auto"/>
                  <w:vAlign w:val="center"/>
                  <w:hideMark/>
                </w:tcPr>
                <w:p w:rsidR="00000000" w:rsidRDefault="00501E77">
                  <w:pPr>
                    <w:pStyle w:val="Normlnywebov"/>
                  </w:pPr>
                  <w:r>
                    <w:t>92 týždňov; 01/2021 až 09/2022</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rStyle w:val="Siln"/>
                    </w:rPr>
                    <w:t>   Vývoj modulov</w:t>
                  </w:r>
                </w:p>
              </w:tc>
              <w:tc>
                <w:tcPr>
                  <w:tcW w:w="0" w:type="auto"/>
                  <w:vAlign w:val="center"/>
                  <w:hideMark/>
                </w:tcPr>
                <w:p w:rsidR="00000000" w:rsidRDefault="00501E77">
                  <w:pPr>
                    <w:pStyle w:val="Normlnywebov"/>
                  </w:pPr>
                  <w:r>
                    <w:rPr>
                      <w:rStyle w:val="Siln"/>
                    </w:rPr>
                    <w:t> </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Funkčný prototyp</w:t>
                  </w:r>
                </w:p>
              </w:tc>
              <w:tc>
                <w:tcPr>
                  <w:tcW w:w="0" w:type="auto"/>
                  <w:vAlign w:val="center"/>
                  <w:hideMark/>
                </w:tcPr>
                <w:p w:rsidR="00000000" w:rsidRDefault="00501E77">
                  <w:pPr>
                    <w:pStyle w:val="Normlnywebov"/>
                  </w:pPr>
                  <w:r>
                    <w:t>Vývoj prezentovateľného funkčného prototypu modulov, súčasťou aktivity je aj samotná prezentácia a schválenie vlastností</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Beta verzia</w:t>
                  </w:r>
                </w:p>
              </w:tc>
              <w:tc>
                <w:tcPr>
                  <w:tcW w:w="0" w:type="auto"/>
                  <w:vAlign w:val="center"/>
                  <w:hideMark/>
                </w:tcPr>
                <w:p w:rsidR="00000000" w:rsidRDefault="00501E77">
                  <w:pPr>
                    <w:pStyle w:val="Normlnywebov"/>
                  </w:pPr>
                  <w:r>
                    <w:t>Vývoj beta verzie modulov na základe f</w:t>
                  </w:r>
                  <w:r>
                    <w:t>unkčného prototypu, súčasťou aktivity je aj samotná prezentácia a schválenie vlastností</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Ukončenie vývoja</w:t>
                  </w:r>
                </w:p>
              </w:tc>
              <w:tc>
                <w:tcPr>
                  <w:tcW w:w="0" w:type="auto"/>
                  <w:vAlign w:val="center"/>
                  <w:hideMark/>
                </w:tcPr>
                <w:p w:rsidR="00000000" w:rsidRDefault="00501E77">
                  <w:pPr>
                    <w:pStyle w:val="Normlnywebov"/>
                  </w:pPr>
                  <w:r>
                    <w:t>Vývoj finálnej verzie (tzv. Release candidate) modulov na základe Beta verzie, súčasťou aktivity je aj samotná prezentácia a schválenie vlastnos</w:t>
                  </w:r>
                  <w:r>
                    <w:t>tí</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Testovacie scenáre</w:t>
                  </w:r>
                </w:p>
              </w:tc>
              <w:tc>
                <w:tcPr>
                  <w:tcW w:w="0" w:type="auto"/>
                  <w:vAlign w:val="center"/>
                  <w:hideMark/>
                </w:tcPr>
                <w:p w:rsidR="00000000" w:rsidRDefault="00501E77">
                  <w:pPr>
                    <w:pStyle w:val="Normlnywebov"/>
                  </w:pPr>
                  <w:r>
                    <w:t>Vytvorenie a schválenie testovacích csenárov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Schválenie štandardov, rámcov a konštruktov v rámci projektu Buď KOPMetentný</w:t>
                  </w:r>
                </w:p>
              </w:tc>
              <w:tc>
                <w:tcPr>
                  <w:tcW w:w="0" w:type="auto"/>
                  <w:vAlign w:val="center"/>
                  <w:hideMark/>
                </w:tcPr>
                <w:p w:rsidR="00000000" w:rsidRDefault="00501E77">
                  <w:pPr>
                    <w:pStyle w:val="Normlnywebov"/>
                  </w:pPr>
                  <w:r>
                    <w:t>Predpoklad pre nasledujúce dve aktivity</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Tvorba oblastí a položiek</w:t>
                  </w:r>
                </w:p>
              </w:tc>
              <w:tc>
                <w:tcPr>
                  <w:tcW w:w="0" w:type="auto"/>
                  <w:vAlign w:val="center"/>
                  <w:hideMark/>
                </w:tcPr>
                <w:p w:rsidR="00000000" w:rsidRDefault="00501E77">
                  <w:pPr>
                    <w:pStyle w:val="Normlnywebov"/>
                  </w:pPr>
                  <w:r>
                    <w:t>Tvorba oblastí a </w:t>
                  </w:r>
                  <w:r>
                    <w:t>položiek pre self-testy a certifikáty</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Tvorba otázok v rámci položiek</w:t>
                  </w:r>
                </w:p>
              </w:tc>
              <w:tc>
                <w:tcPr>
                  <w:tcW w:w="0" w:type="auto"/>
                  <w:vAlign w:val="center"/>
                  <w:hideMark/>
                </w:tcPr>
                <w:p w:rsidR="00000000" w:rsidRDefault="00501E77">
                  <w:pPr>
                    <w:pStyle w:val="Normlnywebov"/>
                  </w:pPr>
                  <w:r>
                    <w:t>Tvorba otázok pre self-testy a certifikáty</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Zabezpečenie certifikačných pracovísk</w:t>
                  </w:r>
                </w:p>
              </w:tc>
              <w:tc>
                <w:tcPr>
                  <w:tcW w:w="0" w:type="auto"/>
                  <w:vAlign w:val="center"/>
                  <w:hideMark/>
                </w:tcPr>
                <w:p w:rsidR="00000000" w:rsidRDefault="00501E77">
                  <w:pPr>
                    <w:pStyle w:val="Normlnywebov"/>
                  </w:pPr>
                  <w:r>
                    <w:t>Vybavenie a zabezpečenie funkčnosti certifikačných pracovísk u partnerov projektu (PC, sieťovania,</w:t>
                  </w:r>
                  <w:r>
                    <w:t xml:space="preserve"> bezpečnosť)</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rStyle w:val="Siln"/>
                    </w:rPr>
                    <w:t>3. Testovanie</w:t>
                  </w:r>
                </w:p>
              </w:tc>
              <w:tc>
                <w:tcPr>
                  <w:tcW w:w="0" w:type="auto"/>
                  <w:vAlign w:val="center"/>
                  <w:hideMark/>
                </w:tcPr>
                <w:p w:rsidR="00000000" w:rsidRDefault="00501E77">
                  <w:pPr>
                    <w:pStyle w:val="Normlnywebov"/>
                  </w:pPr>
                  <w:r>
                    <w:rPr>
                      <w:rStyle w:val="Siln"/>
                    </w:rPr>
                    <w:t> </w:t>
                  </w:r>
                  <w:r>
                    <w:t>22 týždňov, 6/2022 - 11/2022</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Funkčné testovanie 1. iterácia</w:t>
                  </w:r>
                </w:p>
              </w:tc>
              <w:tc>
                <w:tcPr>
                  <w:tcW w:w="0" w:type="auto"/>
                  <w:vAlign w:val="center"/>
                  <w:hideMark/>
                </w:tcPr>
                <w:p w:rsidR="00000000" w:rsidRDefault="00501E77">
                  <w:pPr>
                    <w:pStyle w:val="Normlnywebov"/>
                  </w:pPr>
                  <w:r>
                    <w:t>1. iterácia funkčného testovania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Odstraňovanie nájdených závad</w:t>
                  </w:r>
                </w:p>
              </w:tc>
              <w:tc>
                <w:tcPr>
                  <w:tcW w:w="0" w:type="auto"/>
                  <w:vAlign w:val="center"/>
                  <w:hideMark/>
                </w:tcPr>
                <w:p w:rsidR="00000000" w:rsidRDefault="00501E77">
                  <w:pPr>
                    <w:pStyle w:val="Normlnywebov"/>
                  </w:pPr>
                  <w:r>
                    <w:t>Odstraňovanie závad zistených pri 1. iterácii testovania</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Funkčné testovanie 2. iterá</w:t>
                  </w:r>
                  <w:r>
                    <w:rPr>
                      <w:b/>
                      <w:bCs/>
                    </w:rPr>
                    <w:t>cia</w:t>
                  </w:r>
                </w:p>
              </w:tc>
              <w:tc>
                <w:tcPr>
                  <w:tcW w:w="0" w:type="auto"/>
                  <w:vAlign w:val="center"/>
                  <w:hideMark/>
                </w:tcPr>
                <w:p w:rsidR="00000000" w:rsidRDefault="00501E77">
                  <w:pPr>
                    <w:pStyle w:val="Normlnywebov"/>
                  </w:pPr>
                  <w:r>
                    <w:t>2. iterácia funkčného testovania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Odstraňovanie nájdených závad</w:t>
                  </w:r>
                </w:p>
              </w:tc>
              <w:tc>
                <w:tcPr>
                  <w:tcW w:w="0" w:type="auto"/>
                  <w:vAlign w:val="center"/>
                  <w:hideMark/>
                </w:tcPr>
                <w:p w:rsidR="00000000" w:rsidRDefault="00501E77">
                  <w:pPr>
                    <w:pStyle w:val="Normlnywebov"/>
                  </w:pPr>
                  <w:r>
                    <w:t>Odstraňovanie závad zistených pri 2. iterácii testovania</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Funkčné testovanie 3. iterácia</w:t>
                  </w:r>
                </w:p>
              </w:tc>
              <w:tc>
                <w:tcPr>
                  <w:tcW w:w="0" w:type="auto"/>
                  <w:vAlign w:val="center"/>
                  <w:hideMark/>
                </w:tcPr>
                <w:p w:rsidR="00000000" w:rsidRDefault="00501E77">
                  <w:pPr>
                    <w:pStyle w:val="Normlnywebov"/>
                  </w:pPr>
                  <w:r>
                    <w:t>3. iterácia funkčného testovania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Záťažové testovanie</w:t>
                  </w:r>
                </w:p>
              </w:tc>
              <w:tc>
                <w:tcPr>
                  <w:tcW w:w="0" w:type="auto"/>
                  <w:vAlign w:val="center"/>
                  <w:hideMark/>
                </w:tcPr>
                <w:p w:rsidR="00000000" w:rsidRDefault="00501E77">
                  <w:pPr>
                    <w:pStyle w:val="Normlnywebov"/>
                  </w:pPr>
                  <w:r>
                    <w:t>Záťažové testovanie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Bezpečnostné testovanie</w:t>
                  </w:r>
                </w:p>
              </w:tc>
              <w:tc>
                <w:tcPr>
                  <w:tcW w:w="0" w:type="auto"/>
                  <w:vAlign w:val="center"/>
                  <w:hideMark/>
                </w:tcPr>
                <w:p w:rsidR="00000000" w:rsidRDefault="00501E77">
                  <w:pPr>
                    <w:pStyle w:val="Normlnywebov"/>
                  </w:pPr>
                  <w:r>
                    <w:t>Testovanie simuláciou pokusov o prienik, crash testy</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Odstraňovanie nájdených závad</w:t>
                  </w:r>
                </w:p>
              </w:tc>
              <w:tc>
                <w:tcPr>
                  <w:tcW w:w="0" w:type="auto"/>
                  <w:vAlign w:val="center"/>
                  <w:hideMark/>
                </w:tcPr>
                <w:p w:rsidR="00000000" w:rsidRDefault="00501E77">
                  <w:pPr>
                    <w:pStyle w:val="Normlnywebov"/>
                  </w:pPr>
                  <w:r>
                    <w:t>Odstraňovanie závad zistených pri 3. iterácii testovania</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Akceptačné funkčné testovanie</w:t>
                  </w:r>
                </w:p>
              </w:tc>
              <w:tc>
                <w:tcPr>
                  <w:tcW w:w="0" w:type="auto"/>
                  <w:vAlign w:val="center"/>
                  <w:hideMark/>
                </w:tcPr>
                <w:p w:rsidR="00000000" w:rsidRDefault="00501E77">
                  <w:pPr>
                    <w:pStyle w:val="Normlnywebov"/>
                  </w:pPr>
                  <w:r>
                    <w:t>Finálne funkčné testov</w:t>
                  </w:r>
                  <w:r>
                    <w:t>anie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Akceptačné záťažové testovanie</w:t>
                  </w:r>
                </w:p>
              </w:tc>
              <w:tc>
                <w:tcPr>
                  <w:tcW w:w="0" w:type="auto"/>
                  <w:vAlign w:val="center"/>
                  <w:hideMark/>
                </w:tcPr>
                <w:p w:rsidR="00000000" w:rsidRDefault="00501E77">
                  <w:pPr>
                    <w:pStyle w:val="Normlnywebov"/>
                  </w:pPr>
                  <w:r>
                    <w:t>Finálne záťažové testovanie modulov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Akceptačné bezpečnostné testovanie</w:t>
                  </w:r>
                </w:p>
              </w:tc>
              <w:tc>
                <w:tcPr>
                  <w:tcW w:w="0" w:type="auto"/>
                  <w:vAlign w:val="center"/>
                  <w:hideMark/>
                </w:tcPr>
                <w:p w:rsidR="00000000" w:rsidRDefault="00501E77">
                  <w:pPr>
                    <w:pStyle w:val="Normlnywebov"/>
                  </w:pPr>
                  <w:r>
                    <w:t>Finálne testovanie simuláciou pokusov o prienik, crash testy</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Akceptácia riešenia</w:t>
                  </w:r>
                </w:p>
              </w:tc>
              <w:tc>
                <w:tcPr>
                  <w:tcW w:w="0" w:type="auto"/>
                  <w:vAlign w:val="center"/>
                  <w:hideMark/>
                </w:tcPr>
                <w:p w:rsidR="00000000" w:rsidRDefault="00501E77">
                  <w:pPr>
                    <w:pStyle w:val="Normlnywebov"/>
                  </w:pPr>
                  <w:r>
                    <w:t>Proces akceptácie Riadiacim výborom projektu</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rStyle w:val="Siln"/>
                    </w:rPr>
                    <w:t>4. Nasadenie</w:t>
                  </w:r>
                </w:p>
              </w:tc>
              <w:tc>
                <w:tcPr>
                  <w:tcW w:w="0" w:type="auto"/>
                  <w:vAlign w:val="center"/>
                  <w:hideMark/>
                </w:tcPr>
                <w:p w:rsidR="00000000" w:rsidRDefault="00501E77">
                  <w:pPr>
                    <w:pStyle w:val="Normlnywebov"/>
                  </w:pPr>
                  <w:r>
                    <w:rPr>
                      <w:rStyle w:val="Siln"/>
                    </w:rPr>
                    <w:t> </w:t>
                  </w:r>
                  <w:r>
                    <w:t>4 týždne, 11/2022 - 12/2022</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Nasadenie do ostrej prevádzky</w:t>
                  </w:r>
                </w:p>
              </w:tc>
              <w:tc>
                <w:tcPr>
                  <w:tcW w:w="0" w:type="auto"/>
                  <w:vAlign w:val="center"/>
                  <w:hideMark/>
                </w:tcPr>
                <w:p w:rsidR="00000000" w:rsidRDefault="00501E77">
                  <w:pPr>
                    <w:pStyle w:val="Normlnywebov"/>
                  </w:pPr>
                  <w:r>
                    <w:t>Nasadenie otestovaného riešenia do ostrej prevádzky, pretestovanie podľa testovacích scenárov</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Vytvorenie integračných prepojení</w:t>
                  </w:r>
                </w:p>
              </w:tc>
              <w:tc>
                <w:tcPr>
                  <w:tcW w:w="0" w:type="auto"/>
                  <w:vAlign w:val="center"/>
                  <w:hideMark/>
                </w:tcPr>
                <w:p w:rsidR="00000000" w:rsidRDefault="00501E77">
                  <w:pPr>
                    <w:pStyle w:val="Normlnywebov"/>
                  </w:pPr>
                  <w:r>
                    <w:t>Vytvorenie integračných prepojení s integrovaným</w:t>
                  </w:r>
                  <w:r>
                    <w:t>i systémami, nastavenie otvorených integračných rozhraní</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Akreditácia certifikačných partnerov</w:t>
                  </w:r>
                </w:p>
              </w:tc>
              <w:tc>
                <w:tcPr>
                  <w:tcW w:w="0" w:type="auto"/>
                  <w:vAlign w:val="center"/>
                  <w:hideMark/>
                </w:tcPr>
                <w:p w:rsidR="00000000" w:rsidRDefault="00501E77">
                  <w:pPr>
                    <w:pStyle w:val="Normlnywebov"/>
                  </w:pPr>
                  <w:r>
                    <w:t>Proces kontroly</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Spustenie pilotného testovania</w:t>
                  </w:r>
                </w:p>
              </w:tc>
              <w:tc>
                <w:tcPr>
                  <w:tcW w:w="0" w:type="auto"/>
                  <w:vAlign w:val="center"/>
                  <w:hideMark/>
                </w:tcPr>
                <w:p w:rsidR="00000000" w:rsidRDefault="00501E77">
                  <w:pPr>
                    <w:pStyle w:val="Normlnywebov"/>
                  </w:pPr>
                  <w:r>
                    <w:t> </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b/>
                      <w:bCs/>
                    </w:rPr>
                    <w:t>   Spustenie certifikácií</w:t>
                  </w:r>
                </w:p>
              </w:tc>
              <w:tc>
                <w:tcPr>
                  <w:tcW w:w="0" w:type="auto"/>
                  <w:vAlign w:val="center"/>
                  <w:hideMark/>
                </w:tcPr>
                <w:p w:rsidR="00000000" w:rsidRDefault="00501E77">
                  <w:pPr>
                    <w:pStyle w:val="Normlnywebov"/>
                  </w:pPr>
                  <w:r>
                    <w:t> </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rStyle w:val="Siln"/>
                    </w:rPr>
                    <w:t>5. Riadenie projektu</w:t>
                  </w:r>
                </w:p>
              </w:tc>
              <w:tc>
                <w:tcPr>
                  <w:tcW w:w="0" w:type="auto"/>
                  <w:vAlign w:val="center"/>
                  <w:hideMark/>
                </w:tcPr>
                <w:p w:rsidR="00000000" w:rsidRDefault="00501E77">
                  <w:pPr>
                    <w:pStyle w:val="Normlnywebov"/>
                  </w:pPr>
                  <w:r>
                    <w:t>156 týždňov, 1/2020 - 12/2022</w:t>
                  </w:r>
                </w:p>
              </w:tc>
            </w:tr>
            <w:tr w:rsidR="00000000">
              <w:trPr>
                <w:divId w:val="161940761"/>
                <w:cantSplit/>
                <w:tblCellSpacing w:w="15" w:type="dxa"/>
              </w:trPr>
              <w:tc>
                <w:tcPr>
                  <w:tcW w:w="0" w:type="auto"/>
                  <w:vAlign w:val="center"/>
                  <w:hideMark/>
                </w:tcPr>
                <w:p w:rsidR="00000000" w:rsidRDefault="00501E77">
                  <w:pPr>
                    <w:jc w:val="center"/>
                    <w:rPr>
                      <w:rFonts w:eastAsia="Times New Roman"/>
                      <w:b/>
                      <w:bCs/>
                    </w:rPr>
                  </w:pPr>
                  <w:r>
                    <w:rPr>
                      <w:rFonts w:eastAsia="Times New Roman"/>
                      <w:b/>
                      <w:bCs/>
                    </w:rPr>
                    <w:t> </w:t>
                  </w:r>
                </w:p>
              </w:tc>
              <w:tc>
                <w:tcPr>
                  <w:tcW w:w="0" w:type="auto"/>
                  <w:vAlign w:val="center"/>
                  <w:hideMark/>
                </w:tcPr>
                <w:p w:rsidR="00000000" w:rsidRDefault="00501E77">
                  <w:pPr>
                    <w:rPr>
                      <w:rFonts w:eastAsia="Times New Roman"/>
                    </w:rPr>
                  </w:pPr>
                  <w:r>
                    <w:rPr>
                      <w:rFonts w:eastAsia="Times New Roman"/>
                    </w:rPr>
                    <w:t>Riadenie projektu v </w:t>
                  </w:r>
                  <w:r>
                    <w:rPr>
                      <w:rFonts w:eastAsia="Times New Roman"/>
                    </w:rPr>
                    <w:t>zmysle Štandardu ISVS – veľký projekt, kontrola kvality, legislatívna analýza a návrh</w:t>
                  </w:r>
                </w:p>
              </w:tc>
            </w:tr>
            <w:tr w:rsidR="00000000">
              <w:trPr>
                <w:divId w:val="161940761"/>
                <w:cantSplit/>
                <w:tblCellSpacing w:w="15" w:type="dxa"/>
              </w:trPr>
              <w:tc>
                <w:tcPr>
                  <w:tcW w:w="0" w:type="auto"/>
                  <w:vAlign w:val="center"/>
                  <w:hideMark/>
                </w:tcPr>
                <w:p w:rsidR="00000000" w:rsidRDefault="00501E77">
                  <w:pPr>
                    <w:pStyle w:val="Normlnywebov"/>
                    <w:jc w:val="center"/>
                    <w:rPr>
                      <w:b/>
                      <w:bCs/>
                    </w:rPr>
                  </w:pPr>
                  <w:r>
                    <w:rPr>
                      <w:rStyle w:val="Siln"/>
                    </w:rPr>
                    <w:t>6. Publicita a informovanosť</w:t>
                  </w:r>
                </w:p>
              </w:tc>
              <w:tc>
                <w:tcPr>
                  <w:tcW w:w="0" w:type="auto"/>
                  <w:vAlign w:val="center"/>
                  <w:hideMark/>
                </w:tcPr>
                <w:p w:rsidR="00000000" w:rsidRDefault="00501E77">
                  <w:pPr>
                    <w:pStyle w:val="Normlnywebov"/>
                  </w:pPr>
                  <w:r>
                    <w:t>156 týždňov, 1/2020 - 12/2022</w:t>
                  </w:r>
                </w:p>
              </w:tc>
            </w:tr>
            <w:tr w:rsidR="00000000">
              <w:trPr>
                <w:divId w:val="161940761"/>
                <w:cantSplit/>
                <w:tblCellSpacing w:w="15" w:type="dxa"/>
              </w:trPr>
              <w:tc>
                <w:tcPr>
                  <w:tcW w:w="0" w:type="auto"/>
                  <w:vAlign w:val="center"/>
                  <w:hideMark/>
                </w:tcPr>
                <w:p w:rsidR="00000000" w:rsidRDefault="00501E77">
                  <w:pPr>
                    <w:jc w:val="center"/>
                    <w:rPr>
                      <w:rFonts w:eastAsia="Times New Roman"/>
                      <w:b/>
                      <w:bCs/>
                    </w:rPr>
                  </w:pPr>
                  <w:r>
                    <w:rPr>
                      <w:rFonts w:eastAsia="Times New Roman"/>
                      <w:b/>
                      <w:bCs/>
                    </w:rPr>
                    <w:t> </w:t>
                  </w:r>
                </w:p>
              </w:tc>
              <w:tc>
                <w:tcPr>
                  <w:tcW w:w="0" w:type="auto"/>
                  <w:vAlign w:val="center"/>
                  <w:hideMark/>
                </w:tcPr>
                <w:p w:rsidR="00000000" w:rsidRDefault="00501E77">
                  <w:pPr>
                    <w:rPr>
                      <w:rFonts w:eastAsia="Times New Roman"/>
                    </w:rPr>
                  </w:pPr>
                  <w:r>
                    <w:rPr>
                      <w:rFonts w:eastAsia="Times New Roman"/>
                    </w:rPr>
                    <w:t>Publicita a informovanosť projektu zo strany partnerov projektu ako aj zo strany prijímateľa projektu</w:t>
                  </w:r>
                </w:p>
              </w:tc>
            </w:tr>
          </w:tbl>
          <w:p w:rsidR="00000000" w:rsidRDefault="00501E77">
            <w:pPr>
              <w:pStyle w:val="Normlnywebov"/>
            </w:pPr>
            <w:r>
              <w:t> </w:t>
            </w:r>
          </w:p>
          <w:p w:rsidR="00000000" w:rsidRDefault="00501E77">
            <w:pPr>
              <w:pStyle w:val="Normlnywebov"/>
            </w:pPr>
            <w:r>
              <w:t>Z </w:t>
            </w:r>
            <w:r>
              <w:t>dôvodu postupného nasadzovania jednotlivých certifikačných testov je predpoklad ich postupnej konfigurácie a testovania.</w:t>
            </w:r>
          </w:p>
        </w:tc>
      </w:tr>
      <w:tr w:rsidR="00000000">
        <w:trPr>
          <w:divId w:val="1396388663"/>
          <w:cantSplit/>
          <w:tblCellSpacing w:w="15" w:type="dxa"/>
        </w:trPr>
        <w:tc>
          <w:tcPr>
            <w:tcW w:w="0" w:type="auto"/>
            <w:gridSpan w:val="2"/>
            <w:vAlign w:val="center"/>
            <w:hideMark/>
          </w:tcPr>
          <w:p w:rsidR="00000000" w:rsidRDefault="00501E77">
            <w:pPr>
              <w:pStyle w:val="Normlnywebov"/>
            </w:pPr>
            <w:r>
              <w:rPr>
                <w:rStyle w:val="inline-comment-marker"/>
                <w:i/>
                <w:iCs/>
              </w:rPr>
              <w:t>Priestor pre sumárny obrázok</w:t>
            </w:r>
            <w:r>
              <w:rPr>
                <w:rStyle w:val="inline-comment-marker"/>
                <w:i/>
                <w:iCs/>
              </w:rPr>
              <w:t>:</w:t>
            </w:r>
            <w:r>
              <w:rPr>
                <w:rStyle w:val="inline-comment-marker"/>
                <w:i/>
                <w:iCs/>
              </w:rPr>
              <w:t xml:space="preserve"> ArchiMate štandardný viewpoint – „Implementation and Migration Viewpoint</w:t>
            </w:r>
            <w:r>
              <w:rPr>
                <w:rStyle w:val="inline-comment-marker"/>
                <w:i/>
                <w:iCs/>
              </w:rPr>
              <w:t>"</w:t>
            </w:r>
          </w:p>
          <w:p w:rsidR="00000000" w:rsidRDefault="00501E77">
            <w:pPr>
              <w:pStyle w:val="Normlnywebov"/>
            </w:pPr>
            <w:r>
              <w:rPr>
                <w:noProof/>
              </w:rPr>
              <w:drawing>
                <wp:inline distT="0" distB="0" distL="0" distR="0">
                  <wp:extent cx="4457700" cy="1104900"/>
                  <wp:effectExtent l="0" t="0" r="0" b="0"/>
                  <wp:docPr id="14" name="Obrázok 14" descr="C:\d6b6768c482bfae55fdd27621e57f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6b6768c482bfae55fdd27621e57f2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7700" cy="1104900"/>
                          </a:xfrm>
                          <a:prstGeom prst="rect">
                            <a:avLst/>
                          </a:prstGeom>
                          <a:noFill/>
                          <a:ln>
                            <a:noFill/>
                          </a:ln>
                        </pic:spPr>
                      </pic:pic>
                    </a:graphicData>
                  </a:graphic>
                </wp:inline>
              </w:drawing>
            </w:r>
          </w:p>
          <w:p w:rsidR="00000000" w:rsidRDefault="00501E77">
            <w:pPr>
              <w:pStyle w:val="Normlnywebov"/>
            </w:pPr>
            <w:r>
              <w:t> </w:t>
            </w:r>
          </w:p>
          <w:p w:rsidR="00000000" w:rsidRDefault="00501E77">
            <w:pPr>
              <w:pStyle w:val="Normlnywebov"/>
            </w:pPr>
            <w:r>
              <w:rPr>
                <w:rStyle w:val="Zvraznenie"/>
              </w:rPr>
              <w:t>Obrázok 10 Navrhovaný postup implementácie DEI</w:t>
            </w:r>
          </w:p>
          <w:p w:rsidR="00000000" w:rsidRDefault="00501E77">
            <w:pPr>
              <w:pStyle w:val="Normlnywebov"/>
            </w:pPr>
            <w:r>
              <w:t> </w:t>
            </w:r>
          </w:p>
        </w:tc>
      </w:tr>
      <w:tr w:rsidR="00000000">
        <w:trPr>
          <w:divId w:val="1396388663"/>
          <w:cantSplit/>
          <w:tblCellSpacing w:w="15" w:type="dxa"/>
        </w:trPr>
        <w:tc>
          <w:tcPr>
            <w:tcW w:w="0" w:type="auto"/>
            <w:gridSpan w:val="2"/>
            <w:vAlign w:val="center"/>
            <w:hideMark/>
          </w:tcPr>
          <w:p w:rsidR="00000000" w:rsidRDefault="00501E77">
            <w:pPr>
              <w:pStyle w:val="Normlnywebov"/>
            </w:pPr>
            <w:r>
              <w:rPr>
                <w:rStyle w:val="inline-comment-marker"/>
                <w:i/>
                <w:iCs/>
              </w:rPr>
              <w:t>Ďalšie informáci</w:t>
            </w:r>
            <w:r>
              <w:rPr>
                <w:rStyle w:val="inline-comment-marker"/>
                <w:i/>
                <w:iCs/>
              </w:rPr>
              <w:t>e</w:t>
            </w:r>
            <w:r>
              <w:t xml:space="preserve"> </w:t>
            </w:r>
            <w:r>
              <w:br/>
            </w:r>
            <w:r>
              <w:rPr>
                <w:rStyle w:val="Zvraznenie"/>
              </w:rPr>
              <w:t>(Max. 1600 znakov, pre detailný popis je potrebné využiť prílohy)</w:t>
            </w:r>
          </w:p>
          <w:p w:rsidR="00000000" w:rsidRDefault="00501E77">
            <w:pPr>
              <w:pStyle w:val="Normlnywebov"/>
            </w:pPr>
            <w:r>
              <w:t> </w:t>
            </w:r>
          </w:p>
        </w:tc>
      </w:tr>
      <w:tr w:rsidR="00000000">
        <w:trPr>
          <w:divId w:val="1396388663"/>
          <w:cantSplit/>
          <w:tblCellSpacing w:w="15" w:type="dxa"/>
        </w:trPr>
        <w:tc>
          <w:tcPr>
            <w:tcW w:w="0" w:type="auto"/>
            <w:vAlign w:val="center"/>
            <w:hideMark/>
          </w:tcPr>
          <w:p w:rsidR="00000000" w:rsidRDefault="00501E77">
            <w:pPr>
              <w:pStyle w:val="Normlnywebov"/>
            </w:pPr>
            <w:r>
              <w:rPr>
                <w:rStyle w:val="Zvraznenie"/>
              </w:rPr>
              <w:t>Zriadenie Inštitúcie</w:t>
            </w:r>
          </w:p>
          <w:p w:rsidR="00000000" w:rsidRDefault="00501E77">
            <w:pPr>
              <w:pStyle w:val="Normlnywebov"/>
            </w:pPr>
            <w:r>
              <w:t>Implementácia DEI bude inštitucionálne podporená zriadením centrálnej metodicko-procesnej autority CMPP pre digitálne kompetencie. CMPP na seba prevezme úlohy správcu systému DEI vrátane všetkých podporných činností pre udržateľnosť systému, akými sú redak</w:t>
            </w:r>
            <w:r>
              <w:t>cia, akreditácia partnerov, publicita a podobne.</w:t>
            </w:r>
          </w:p>
          <w:p w:rsidR="00000000" w:rsidRDefault="00501E77">
            <w:pPr>
              <w:pStyle w:val="Normlnywebov"/>
            </w:pPr>
            <w:r>
              <w:t>V priebehu prvých 26 mesiacov projektu bude vypracovaná analýza a legislatívna analýza, pokrývajúca aj problematiku inštitucionálneho zabezpečenia a formy CMPP. Následne</w:t>
            </w:r>
            <w:r>
              <w:t xml:space="preserve"> </w:t>
            </w:r>
            <w:r>
              <w:rPr>
                <w:rStyle w:val="inline-comment-marker"/>
              </w:rPr>
              <w:t>dôjd</w:t>
            </w:r>
            <w:r>
              <w:rPr>
                <w:rStyle w:val="inline-comment-marker"/>
              </w:rPr>
              <w:t>e</w:t>
            </w:r>
            <w:r>
              <w:t xml:space="preserve"> k vypracovaniu konceptu CMPP (k</w:t>
            </w:r>
            <w:r>
              <w:t>ompetenčný, finančný, procesný model, organizačná štruktúra a pod.) a k postupnému inštitucionálnemu budovaniu centra, vrátene odbornej prípravy zamestnancov centra a zabezpečenia poradenstva a podpory počas jeho budovania a adaptácie. Kvalita konceptu CMP</w:t>
            </w:r>
            <w:r>
              <w:t>P a spôsob jeho uplatnenia v praxi, vrátane komplexného kompetenčného osadenia bude mať zásadný vplyv na schopnosť CMPP plniť si úlohy, spravovať DEI a ďalej optimalizovať a metodicky usmerňovať ekonomické agendy štátu. Vybudovanie CMPP bude teda dôležitým</w:t>
            </w:r>
            <w:r>
              <w:t xml:space="preserve"> faktorom pri implementácii DEI a jeho následnej správe a celkovej udržateľnosti (viac k CMPP aj v časti 2.4.3 Prevádzka).</w:t>
            </w:r>
          </w:p>
          <w:p w:rsidR="00000000" w:rsidRDefault="00501E77">
            <w:pPr>
              <w:pStyle w:val="Normlnywebov"/>
            </w:pPr>
            <w:r>
              <w:t>Z pohľadu nákladov a realizovateľnosti forma organizačného a inštitucionálneho zabezpečenia je irelevantná a štúdia sa ňou nezaoberá.</w:t>
            </w:r>
          </w:p>
          <w:p w:rsidR="00000000" w:rsidRDefault="00501E77">
            <w:pPr>
              <w:pStyle w:val="Normlnywebov"/>
            </w:pPr>
            <w:r>
              <w:rPr>
                <w:rStyle w:val="Siln"/>
              </w:rPr>
              <w:t>Kritéria kvality</w:t>
            </w:r>
          </w:p>
          <w:p w:rsidR="00000000" w:rsidRDefault="00501E77">
            <w:pPr>
              <w:pStyle w:val="Normlnywebov"/>
              <w:spacing w:after="240" w:afterAutospacing="0"/>
            </w:pPr>
            <w:r>
              <w:sym w:font="Symbol" w:char="F0A7"/>
            </w:r>
            <w:r>
              <w:t xml:space="preserve"> Štruktúra a kvalita implementačného tímu</w:t>
            </w:r>
            <w:r>
              <w:br/>
            </w:r>
            <w:r>
              <w:sym w:font="Symbol" w:char="F0A7"/>
            </w:r>
            <w:r>
              <w:t xml:space="preserve"> Prehľadná, presná a aktualizovaná projektová dokumentácia</w:t>
            </w:r>
            <w:r>
              <w:br/>
            </w:r>
            <w:r>
              <w:sym w:font="Symbol" w:char="F0A7"/>
            </w:r>
            <w:r>
              <w:t xml:space="preserve"> Medzinárodný štandard pri riadení projektov (projekty sú riadené na základe uznávanej metodiky)</w:t>
            </w:r>
            <w:r>
              <w:br/>
            </w:r>
            <w:r>
              <w:sym w:font="Symbol" w:char="F0A7"/>
            </w:r>
            <w:r>
              <w:t xml:space="preserve"> Plynulosť implementácie riešenia (p</w:t>
            </w:r>
            <w:r>
              <w:t>odrobný plán implementácie modulov DEI)</w:t>
            </w:r>
          </w:p>
        </w:tc>
        <w:tc>
          <w:tcPr>
            <w:tcW w:w="0" w:type="auto"/>
            <w:vAlign w:val="center"/>
            <w:hideMark/>
          </w:tcPr>
          <w:p w:rsidR="00000000" w:rsidRDefault="00501E77">
            <w:pPr>
              <w:rPr>
                <w:rFonts w:eastAsia="Times New Roman"/>
              </w:rPr>
            </w:pPr>
            <w:r>
              <w:rPr>
                <w:rStyle w:val="Siln"/>
                <w:rFonts w:eastAsia="Times New Roman"/>
              </w:rPr>
              <w:t>Spresnenie kritérií kvality:</w:t>
            </w:r>
          </w:p>
          <w:p w:rsidR="00000000" w:rsidRDefault="00501E77">
            <w:pPr>
              <w:pStyle w:val="Normlnywebov"/>
            </w:pPr>
            <w:r>
              <w:t>QD_1, QD_2, QD_3, QD_4,</w:t>
            </w:r>
          </w:p>
        </w:tc>
      </w:tr>
      <w:tr w:rsidR="00000000">
        <w:trPr>
          <w:divId w:val="1396388663"/>
          <w:cantSplit/>
          <w:tblCellSpacing w:w="15" w:type="dxa"/>
        </w:trPr>
        <w:tc>
          <w:tcPr>
            <w:tcW w:w="0" w:type="auto"/>
            <w:vAlign w:val="center"/>
            <w:hideMark/>
          </w:tcPr>
          <w:p w:rsidR="00000000" w:rsidRDefault="00501E77">
            <w:pPr>
              <w:pStyle w:val="Normlnywebov"/>
            </w:pPr>
            <w:r>
              <w:t> </w:t>
            </w:r>
            <w:r>
              <w:rPr>
                <w:rStyle w:val="Siln"/>
              </w:rPr>
              <w:t>Riziká</w:t>
            </w:r>
          </w:p>
          <w:p w:rsidR="00000000" w:rsidRDefault="00501E77">
            <w:pPr>
              <w:pStyle w:val="Normlnywebov"/>
              <w:spacing w:after="240" w:afterAutospacing="0"/>
            </w:pPr>
            <w:r>
              <w:sym w:font="Symbol" w:char="F0A7"/>
            </w:r>
            <w:r>
              <w:t xml:space="preserve"> Implementačný tím nebude mať dostatočnú kapacitu, vedomosti a schopnosti</w:t>
            </w:r>
            <w:r>
              <w:br/>
            </w:r>
            <w:r>
              <w:sym w:font="Symbol" w:char="F0A7"/>
            </w:r>
            <w:r>
              <w:t xml:space="preserve"> Harmonogram implementácie počíta s paralelným projektom (projekt OP ĽZ) </w:t>
            </w:r>
            <w:r>
              <w:br/>
            </w:r>
            <w:r>
              <w:sym w:font="Symbol" w:char="F0A7"/>
            </w:r>
            <w:r>
              <w:t xml:space="preserve"> </w:t>
            </w:r>
            <w:r>
              <w:t>Závislosť na vybudovaní vládneho cloudu, ako podmienky pre implementáciu</w:t>
            </w:r>
          </w:p>
        </w:tc>
        <w:tc>
          <w:tcPr>
            <w:tcW w:w="0" w:type="auto"/>
            <w:vAlign w:val="center"/>
            <w:hideMark/>
          </w:tcPr>
          <w:p w:rsidR="00000000" w:rsidRDefault="00501E77">
            <w:pPr>
              <w:rPr>
                <w:rFonts w:eastAsia="Times New Roman"/>
              </w:rPr>
            </w:pPr>
            <w:r>
              <w:rPr>
                <w:rStyle w:val="Siln"/>
                <w:rFonts w:eastAsia="Times New Roman"/>
              </w:rPr>
              <w:t>Spresnenie identifikovaných rizík:</w:t>
            </w:r>
          </w:p>
          <w:p w:rsidR="00000000" w:rsidRDefault="00501E77">
            <w:pPr>
              <w:pStyle w:val="Normlnywebov"/>
            </w:pPr>
            <w:r>
              <w:t>RD_01, RD_02, RD_03,</w:t>
            </w:r>
          </w:p>
        </w:tc>
      </w:tr>
      <w:tr w:rsidR="00000000">
        <w:trPr>
          <w:divId w:val="1396388663"/>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1396388663"/>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sym w:font="Symbol" w:char="F0A7"/>
            </w:r>
            <w:r>
              <w:t xml:space="preserve"> Ta</w:t>
            </w:r>
            <w:r>
              <w:t>buľka 2 Riziká</w:t>
            </w:r>
            <w:r>
              <w:br/>
            </w:r>
            <w:r>
              <w:sym w:font="Symbol" w:char="F0A7"/>
            </w:r>
            <w:r>
              <w:t xml:space="preserve"> Tabuľka 3 Kritéria kvality</w:t>
            </w:r>
            <w:r>
              <w:br/>
            </w:r>
            <w:r>
              <w:sym w:font="Symbol" w:char="F0A7"/>
            </w:r>
            <w:r>
              <w:t xml:space="preserve"> Tabuľka 19 Výstupy projektu</w:t>
            </w:r>
            <w:r>
              <w:br/>
            </w:r>
            <w:r>
              <w:sym w:font="Symbol" w:char="F0A7"/>
            </w:r>
            <w:r>
              <w:t xml:space="preserve"> Tabuľka 20 Harmonogram projektu</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4"/>
        <w:rPr>
          <w:rFonts w:eastAsia="Times New Roman"/>
        </w:rPr>
      </w:pPr>
      <w:r>
        <w:rPr>
          <w:rStyle w:val="inline-comment-marker"/>
          <w:rFonts w:eastAsia="Times New Roman"/>
        </w:rPr>
        <w:t>Bezpečnostná architektúr</w:t>
      </w:r>
      <w:r>
        <w:rPr>
          <w:rStyle w:val="inline-comment-marker"/>
          <w:rFonts w:eastAsia="Times New Roman"/>
        </w:rPr>
        <w:t>a</w:t>
      </w:r>
    </w:p>
    <w:p w:rsidR="00000000" w:rsidRDefault="00501E77">
      <w:pPr>
        <w:pStyle w:val="Normlnywebov"/>
      </w:pPr>
      <w:r>
        <w:rPr>
          <w:rStyle w:val="Zvraznenie"/>
        </w:rPr>
        <w:t>Tabuľka 15 Bezpečnostná architektúra - budúci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912929376"/>
          <w:cantSplit/>
          <w:tblCellSpacing w:w="15" w:type="dxa"/>
        </w:trPr>
        <w:tc>
          <w:tcPr>
            <w:tcW w:w="0" w:type="auto"/>
            <w:gridSpan w:val="2"/>
            <w:vAlign w:val="center"/>
            <w:hideMark/>
          </w:tcPr>
          <w:p w:rsidR="00000000" w:rsidRDefault="00501E77">
            <w:pPr>
              <w:pStyle w:val="Normlnywebov"/>
            </w:pPr>
            <w:r>
              <w:rPr>
                <w:rStyle w:val="inline-comment-marker"/>
                <w:b/>
                <w:bCs/>
              </w:rPr>
              <w:t>Súhrnný popi</w:t>
            </w:r>
            <w:r>
              <w:rPr>
                <w:rStyle w:val="inline-comment-marker"/>
                <w:b/>
                <w:bCs/>
              </w:rPr>
              <w:t>s</w:t>
            </w:r>
          </w:p>
        </w:tc>
      </w:tr>
      <w:tr w:rsidR="00000000">
        <w:trPr>
          <w:divId w:val="912929376"/>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V oblasti bezpečnosti a ochrany údajov bude riešenie na technologickej úrovni v čo najvyššej možnej mier</w:t>
            </w:r>
            <w:r>
              <w:t>e využívať existujúce bezpečnostné politiky, komponenty a technológie vládneho cloudu:</w:t>
            </w:r>
          </w:p>
          <w:p w:rsidR="00000000" w:rsidRDefault="00501E77">
            <w:pPr>
              <w:numPr>
                <w:ilvl w:val="0"/>
                <w:numId w:val="29"/>
              </w:numPr>
              <w:spacing w:before="100" w:beforeAutospacing="1" w:after="100" w:afterAutospacing="1"/>
              <w:rPr>
                <w:rFonts w:eastAsia="Times New Roman"/>
              </w:rPr>
            </w:pPr>
            <w:r>
              <w:rPr>
                <w:rFonts w:eastAsia="Times New Roman"/>
              </w:rPr>
              <w:t>monitoring sieťových prístupov, bezpečnosti údajov na diskových poliach, logovanie prístupov a zmien,</w:t>
            </w:r>
          </w:p>
          <w:p w:rsidR="00000000" w:rsidRDefault="00501E77">
            <w:pPr>
              <w:numPr>
                <w:ilvl w:val="0"/>
                <w:numId w:val="29"/>
              </w:numPr>
              <w:spacing w:before="100" w:beforeAutospacing="1" w:after="100" w:afterAutospacing="1"/>
              <w:rPr>
                <w:rFonts w:eastAsia="Times New Roman"/>
              </w:rPr>
            </w:pPr>
            <w:r>
              <w:rPr>
                <w:rFonts w:eastAsia="Times New Roman"/>
              </w:rPr>
              <w:t>riadenie prístupov k virtualizačnej platforme,</w:t>
            </w:r>
          </w:p>
          <w:p w:rsidR="00000000" w:rsidRDefault="00501E77">
            <w:pPr>
              <w:numPr>
                <w:ilvl w:val="0"/>
                <w:numId w:val="29"/>
              </w:numPr>
              <w:spacing w:before="100" w:beforeAutospacing="1" w:after="100" w:afterAutospacing="1"/>
              <w:rPr>
                <w:rFonts w:eastAsia="Times New Roman"/>
              </w:rPr>
            </w:pPr>
            <w:r>
              <w:rPr>
                <w:rFonts w:eastAsia="Times New Roman"/>
              </w:rPr>
              <w:t xml:space="preserve">služba poskytovania </w:t>
            </w:r>
            <w:r>
              <w:rPr>
                <w:rFonts w:eastAsia="Times New Roman"/>
              </w:rPr>
              <w:t>bezpečnej prístupovej siete.</w:t>
            </w:r>
          </w:p>
          <w:p w:rsidR="00000000" w:rsidRDefault="00501E77">
            <w:pPr>
              <w:pStyle w:val="Normlnywebov"/>
            </w:pPr>
            <w:r>
              <w:rPr>
                <w:rStyle w:val="inline-comment-marker"/>
              </w:rPr>
              <w:t>Predpokladom prevádzky DEI v prostredí vládneho cloudu PaaS/IaaS bude zavedenie služieb zameraných na zabezpečenie systému DEI. Prevádzkovateľ systému DEI zabezpečí nasledovné služby</w:t>
            </w:r>
            <w:r>
              <w:rPr>
                <w:rStyle w:val="inline-comment-marker"/>
              </w:rPr>
              <w:t>:</w:t>
            </w:r>
          </w:p>
          <w:p w:rsidR="00000000" w:rsidRDefault="00501E77">
            <w:pPr>
              <w:numPr>
                <w:ilvl w:val="0"/>
                <w:numId w:val="30"/>
              </w:numPr>
              <w:spacing w:before="100" w:beforeAutospacing="1" w:after="100" w:afterAutospacing="1"/>
              <w:rPr>
                <w:rFonts w:eastAsia="Times New Roman"/>
              </w:rPr>
            </w:pPr>
            <w:r>
              <w:rPr>
                <w:rStyle w:val="inline-comment-marker"/>
                <w:rFonts w:eastAsia="Times New Roman"/>
              </w:rPr>
              <w:t>nástroje pre ochranu proti škodlivému softv</w:t>
            </w:r>
            <w:r>
              <w:rPr>
                <w:rStyle w:val="inline-comment-marker"/>
                <w:rFonts w:eastAsia="Times New Roman"/>
              </w:rPr>
              <w:t>ér</w:t>
            </w:r>
            <w:r>
              <w:rPr>
                <w:rStyle w:val="inline-comment-marker"/>
                <w:rFonts w:eastAsia="Times New Roman"/>
              </w:rPr>
              <w:t>u</w:t>
            </w:r>
            <w:r>
              <w:rPr>
                <w:rFonts w:eastAsia="Times New Roman"/>
              </w:rPr>
              <w:t xml:space="preserve"> </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antivírová ochrana na úrovni operačných systémo</w:t>
            </w:r>
            <w:r>
              <w:rPr>
                <w:rStyle w:val="inline-comment-marker"/>
                <w:rFonts w:eastAsia="Times New Roman"/>
              </w:rPr>
              <w:t>v</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antivírovaá ochrana na úrovni údajo</w:t>
            </w:r>
            <w:r>
              <w:rPr>
                <w:rStyle w:val="inline-comment-marker"/>
                <w:rFonts w:eastAsia="Times New Roman"/>
              </w:rPr>
              <w:t>v</w:t>
            </w:r>
          </w:p>
          <w:p w:rsidR="00000000" w:rsidRDefault="00501E77">
            <w:pPr>
              <w:numPr>
                <w:ilvl w:val="0"/>
                <w:numId w:val="30"/>
              </w:numPr>
              <w:spacing w:before="100" w:beforeAutospacing="1" w:after="100" w:afterAutospacing="1"/>
              <w:rPr>
                <w:rFonts w:eastAsia="Times New Roman"/>
              </w:rPr>
            </w:pPr>
            <w:r>
              <w:rPr>
                <w:rStyle w:val="inline-comment-marker"/>
                <w:rFonts w:eastAsia="Times New Roman"/>
              </w:rPr>
              <w:t>analytické nástroje pre monitorovanie a vyhodnocovanie bezpečnost</w:t>
            </w:r>
            <w:r>
              <w:rPr>
                <w:rStyle w:val="inline-comment-marker"/>
                <w:rFonts w:eastAsia="Times New Roman"/>
              </w:rPr>
              <w:t>i</w:t>
            </w:r>
            <w:r>
              <w:rPr>
                <w:rFonts w:eastAsia="Times New Roman"/>
              </w:rPr>
              <w:t xml:space="preserve"> </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pravidelné vyhodnocovanie logov a výstra</w:t>
            </w:r>
            <w:r>
              <w:rPr>
                <w:rStyle w:val="inline-comment-marker"/>
                <w:rFonts w:eastAsia="Times New Roman"/>
              </w:rPr>
              <w:t>h</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procesné vyhodnotenie každého výpadku, nedostupnosti a napadnutia systému s popisom prijatých opatren</w:t>
            </w:r>
            <w:r>
              <w:rPr>
                <w:rStyle w:val="inline-comment-marker"/>
                <w:rFonts w:eastAsia="Times New Roman"/>
              </w:rPr>
              <w:t>í</w:t>
            </w:r>
          </w:p>
          <w:p w:rsidR="00000000" w:rsidRDefault="00501E77">
            <w:pPr>
              <w:numPr>
                <w:ilvl w:val="0"/>
                <w:numId w:val="30"/>
              </w:numPr>
              <w:spacing w:before="100" w:beforeAutospacing="1" w:after="100" w:afterAutospacing="1"/>
              <w:rPr>
                <w:rFonts w:eastAsia="Times New Roman"/>
              </w:rPr>
            </w:pPr>
            <w:r>
              <w:rPr>
                <w:rStyle w:val="inline-comment-marker"/>
                <w:rFonts w:eastAsia="Times New Roman"/>
              </w:rPr>
              <w:t>nástroje pre testovanie a overovanie zraniteľnosti a odolnosti systémy voči hrozbá</w:t>
            </w:r>
            <w:r>
              <w:rPr>
                <w:rStyle w:val="inline-comment-marker"/>
                <w:rFonts w:eastAsia="Times New Roman"/>
              </w:rPr>
              <w:t>m</w:t>
            </w:r>
            <w:r>
              <w:rPr>
                <w:rFonts w:eastAsia="Times New Roman"/>
              </w:rPr>
              <w:t xml:space="preserve"> </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petračné testy počas fázy testovani</w:t>
            </w:r>
            <w:r>
              <w:rPr>
                <w:rStyle w:val="inline-comment-marker"/>
                <w:rFonts w:eastAsia="Times New Roman"/>
              </w:rPr>
              <w:t>a</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využitie nástrojov poskytovaných vládnym cloudom a prevádzkovateľom siete Govnet (napr. intruder detection</w:t>
            </w:r>
            <w:r>
              <w:rPr>
                <w:rStyle w:val="inline-comment-marker"/>
                <w:rFonts w:eastAsia="Times New Roman"/>
              </w:rPr>
              <w:t>)</w:t>
            </w:r>
          </w:p>
          <w:p w:rsidR="00000000" w:rsidRDefault="00501E77">
            <w:pPr>
              <w:numPr>
                <w:ilvl w:val="0"/>
                <w:numId w:val="30"/>
              </w:numPr>
              <w:spacing w:before="100" w:beforeAutospacing="1" w:after="100" w:afterAutospacing="1"/>
              <w:rPr>
                <w:rFonts w:eastAsia="Times New Roman"/>
              </w:rPr>
            </w:pPr>
            <w:r>
              <w:rPr>
                <w:rStyle w:val="inline-comment-marker"/>
                <w:rFonts w:eastAsia="Times New Roman"/>
              </w:rPr>
              <w:t>centrálna správa používateľov (okrem certifikačných partnerov</w:t>
            </w:r>
            <w:r>
              <w:rPr>
                <w:rStyle w:val="inline-comment-marker"/>
                <w:rFonts w:eastAsia="Times New Roman"/>
              </w:rPr>
              <w:t>)</w:t>
            </w:r>
            <w:r>
              <w:rPr>
                <w:rFonts w:eastAsia="Times New Roman"/>
              </w:rPr>
              <w:t xml:space="preserve"> </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silná autentifikácia administrátoro</w:t>
            </w:r>
            <w:r>
              <w:rPr>
                <w:rStyle w:val="inline-comment-marker"/>
                <w:rFonts w:eastAsia="Times New Roman"/>
              </w:rPr>
              <w:t>v</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riadenie prístupu pre administrátorov na úrovni</w:t>
            </w:r>
            <w:r>
              <w:rPr>
                <w:rStyle w:val="inline-comment-marker"/>
                <w:rFonts w:eastAsia="Times New Roman"/>
              </w:rPr>
              <w:t xml:space="preserve"> jednotlivých komponento</w:t>
            </w:r>
            <w:r>
              <w:rPr>
                <w:rStyle w:val="inline-comment-marker"/>
                <w:rFonts w:eastAsia="Times New Roman"/>
              </w:rPr>
              <w:t>v</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tunelovanie prepojenia administrátorských staníc a jednotlivých komponentov (VPN</w:t>
            </w:r>
            <w:r>
              <w:rPr>
                <w:rStyle w:val="inline-comment-marker"/>
                <w:rFonts w:eastAsia="Times New Roman"/>
              </w:rPr>
              <w:t>)</w:t>
            </w:r>
          </w:p>
          <w:p w:rsidR="00000000" w:rsidRDefault="00501E77">
            <w:pPr>
              <w:numPr>
                <w:ilvl w:val="0"/>
                <w:numId w:val="30"/>
              </w:numPr>
              <w:spacing w:before="100" w:beforeAutospacing="1" w:after="100" w:afterAutospacing="1"/>
              <w:rPr>
                <w:rFonts w:eastAsia="Times New Roman"/>
              </w:rPr>
            </w:pPr>
            <w:r>
              <w:rPr>
                <w:rStyle w:val="inline-comment-marker"/>
                <w:rFonts w:eastAsia="Times New Roman"/>
              </w:rPr>
              <w:t>správa koncových staní</w:t>
            </w:r>
            <w:r>
              <w:rPr>
                <w:rStyle w:val="inline-comment-marker"/>
                <w:rFonts w:eastAsia="Times New Roman"/>
              </w:rPr>
              <w:t>c</w:t>
            </w:r>
            <w:r>
              <w:rPr>
                <w:rFonts w:eastAsia="Times New Roman"/>
              </w:rPr>
              <w:t xml:space="preserve"> </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stanice sú plánované ako Remote Deskto</w:t>
            </w:r>
            <w:r>
              <w:rPr>
                <w:rStyle w:val="inline-comment-marker"/>
                <w:rFonts w:eastAsia="Times New Roman"/>
              </w:rPr>
              <w:t>p</w:t>
            </w:r>
          </w:p>
          <w:p w:rsidR="00000000" w:rsidRDefault="00501E77">
            <w:pPr>
              <w:numPr>
                <w:ilvl w:val="1"/>
                <w:numId w:val="30"/>
              </w:numPr>
              <w:spacing w:before="100" w:beforeAutospacing="1" w:after="100" w:afterAutospacing="1"/>
              <w:rPr>
                <w:rFonts w:eastAsia="Times New Roman"/>
              </w:rPr>
            </w:pPr>
            <w:r>
              <w:rPr>
                <w:rStyle w:val="inline-comment-marker"/>
                <w:rFonts w:eastAsia="Times New Roman"/>
              </w:rPr>
              <w:t>nasadzovanie releasov a testovanie jednotlivých konfigurácií desktopo</w:t>
            </w:r>
            <w:r>
              <w:rPr>
                <w:rStyle w:val="inline-comment-marker"/>
                <w:rFonts w:eastAsia="Times New Roman"/>
              </w:rPr>
              <w:t>v</w:t>
            </w:r>
          </w:p>
          <w:p w:rsidR="00000000" w:rsidRDefault="00501E77">
            <w:pPr>
              <w:pStyle w:val="Normlnywebov"/>
            </w:pPr>
            <w:r>
              <w:t> </w:t>
            </w:r>
          </w:p>
        </w:tc>
      </w:tr>
      <w:tr w:rsidR="00000000">
        <w:trPr>
          <w:divId w:val="912929376"/>
          <w:cantSplit/>
          <w:tblCellSpacing w:w="15" w:type="dxa"/>
        </w:trPr>
        <w:tc>
          <w:tcPr>
            <w:tcW w:w="0" w:type="auto"/>
            <w:gridSpan w:val="2"/>
            <w:vAlign w:val="center"/>
            <w:hideMark/>
          </w:tcPr>
          <w:p w:rsidR="00000000" w:rsidRDefault="00501E77">
            <w:pPr>
              <w:pStyle w:val="Normlnywebov"/>
            </w:pPr>
            <w:r>
              <w:t> </w:t>
            </w:r>
          </w:p>
        </w:tc>
      </w:tr>
      <w:tr w:rsidR="00000000">
        <w:trPr>
          <w:divId w:val="912929376"/>
          <w:cantSplit/>
          <w:tblCellSpacing w:w="15" w:type="dxa"/>
        </w:trPr>
        <w:tc>
          <w:tcPr>
            <w:tcW w:w="0" w:type="auto"/>
            <w:gridSpan w:val="2"/>
            <w:vAlign w:val="center"/>
            <w:hideMark/>
          </w:tcPr>
          <w:p w:rsidR="00000000" w:rsidRDefault="00501E77">
            <w:pPr>
              <w:pStyle w:val="Normlnywebov"/>
            </w:pPr>
            <w:r>
              <w:t>Real</w:t>
            </w:r>
            <w:r>
              <w:t xml:space="preserve">izácia riešenia DEI si vyžiada zabezpečenie prevádzky, správy a údržby informačného systému v súlade s požiadavkami riadenia informačnej bezpečnosti. Systém musí byť realizovaný v súlade so zákonom č. 275/2006 Z.z. o informačných systémoch verejnej správy </w:t>
            </w:r>
            <w:r>
              <w:t>a o zmene a doplnení niektorých zákonov a v súlade s Výnosom Ministerstva financií Slovenskej republiky č. 55/2014 Z. z. o štandardoch pre informačné systémy verejnej správy v znení neskorších predpisov. Implementácia a prevádzka systému musí v oblasti bez</w:t>
            </w:r>
            <w:r>
              <w:t>pečnosti brať do úvahy aj Zákon 69/2018 Z. z. o kybernetickej bezpečnosti. Takisto musí zabezpečiť ochranu osobných údajov v zmysle Nariadenia Európskeho parlamentu a Rady (EÚ) 2016/679 z 27. apríla 2016 o ochrane fyzických osôb pri spracúvaní osobných úda</w:t>
            </w:r>
            <w:r>
              <w:t>jov a o voľnom pohybe takýchto údajov, ktorým sa zrušuje smernica 95/46/ES (všeobecné nariadenie o ochrane údajov) a Zákona č. 18/2018 Z. z. o ochrane osobných údajov a o zmene a doplnení niektorých zákonov.</w:t>
            </w:r>
          </w:p>
          <w:p w:rsidR="00000000" w:rsidRDefault="00501E77">
            <w:pPr>
              <w:spacing w:before="100" w:beforeAutospacing="1" w:after="100" w:afterAutospacing="1"/>
              <w:jc w:val="both"/>
            </w:pPr>
            <w:r>
              <w:rPr>
                <w:sz w:val="21"/>
                <w:szCs w:val="21"/>
              </w:rPr>
              <w:t>Samostatnou kapitolou v oblasti bezpečnosti je zabezpečenie nespochybniteľnosti vykonania certifikácie daným jednotlivcom. Bezpečnostný projekt, ktorý musí byť dodaný v rámci tohto projektu, musí stanoviť úroveň autentifikácie certifikačných partnerov, aut</w:t>
            </w:r>
            <w:r>
              <w:rPr>
                <w:sz w:val="21"/>
                <w:szCs w:val="21"/>
              </w:rPr>
              <w:t xml:space="preserve">orizácie výsledkov certifikácie, zabezpečenie komunikačných kanálov ako aj prípadné ukladanie a dobu archivácie video záznamov (predpokladáme nasadenie kamier na každú pracovnú stanicu) z certifikácií každého jednotlivca, odpovedí jednotlivca a podobne. </w:t>
            </w:r>
          </w:p>
        </w:tc>
      </w:tr>
      <w:tr w:rsidR="00000000">
        <w:trPr>
          <w:divId w:val="912929376"/>
          <w:cantSplit/>
          <w:tblCellSpacing w:w="15" w:type="dxa"/>
        </w:trPr>
        <w:tc>
          <w:tcPr>
            <w:tcW w:w="0" w:type="auto"/>
            <w:vAlign w:val="center"/>
            <w:hideMark/>
          </w:tcPr>
          <w:p w:rsidR="00000000" w:rsidRDefault="00501E77">
            <w:pPr>
              <w:pStyle w:val="Normlnywebov"/>
            </w:pPr>
            <w:r>
              <w:rPr>
                <w:rStyle w:val="Siln"/>
              </w:rPr>
              <w:t>Kritéria kvality</w:t>
            </w:r>
          </w:p>
          <w:p w:rsidR="00000000" w:rsidRDefault="00501E77">
            <w:pPr>
              <w:pStyle w:val="Normlnywebov"/>
            </w:pPr>
            <w:r>
              <w:sym w:font="Symbol" w:char="F0A7"/>
            </w:r>
            <w:r>
              <w:t xml:space="preserve"> Nastavenie rolí a oprávnení vo vzťahu k bezpečnosti</w:t>
            </w:r>
            <w:r>
              <w:br/>
            </w:r>
            <w:r>
              <w:sym w:font="Symbol" w:char="F0A7"/>
            </w:r>
            <w:r>
              <w:t xml:space="preserve"> Nastavenie rolí a oprávnení vo vzťahu k pracovným pozíciám</w:t>
            </w:r>
            <w:r>
              <w:br/>
            </w:r>
            <w:r>
              <w:sym w:font="Symbol" w:char="F0A7"/>
            </w:r>
            <w:r>
              <w:t xml:space="preserve"> Vypracované bezpečnostné politiky, ktoré sú zavedené do praxe</w:t>
            </w:r>
          </w:p>
        </w:tc>
        <w:tc>
          <w:tcPr>
            <w:tcW w:w="0" w:type="auto"/>
            <w:vAlign w:val="center"/>
            <w:hideMark/>
          </w:tcPr>
          <w:p w:rsidR="00000000" w:rsidRDefault="00501E77">
            <w:pPr>
              <w:pStyle w:val="Normlnywebov"/>
            </w:pPr>
            <w:r>
              <w:rPr>
                <w:rStyle w:val="Siln"/>
              </w:rPr>
              <w:t xml:space="preserve">Spresnenie kritérií kvality </w:t>
            </w:r>
            <w:r>
              <w:br/>
              <w:t>QS_01, QS_02, QS_03</w:t>
            </w:r>
          </w:p>
        </w:tc>
      </w:tr>
      <w:tr w:rsidR="00000000">
        <w:trPr>
          <w:divId w:val="912929376"/>
          <w:cantSplit/>
          <w:tblCellSpacing w:w="15" w:type="dxa"/>
        </w:trPr>
        <w:tc>
          <w:tcPr>
            <w:tcW w:w="0" w:type="auto"/>
            <w:vAlign w:val="center"/>
            <w:hideMark/>
          </w:tcPr>
          <w:p w:rsidR="00000000" w:rsidRDefault="00501E77">
            <w:pPr>
              <w:pStyle w:val="Normlnywebov"/>
            </w:pPr>
            <w:r>
              <w:t> </w:t>
            </w:r>
            <w:r>
              <w:rPr>
                <w:rStyle w:val="Siln"/>
              </w:rPr>
              <w:t>Riziká</w:t>
            </w:r>
          </w:p>
          <w:p w:rsidR="00000000" w:rsidRDefault="00501E77">
            <w:pPr>
              <w:pStyle w:val="Normlnywebov"/>
            </w:pPr>
            <w:r>
              <w:sym w:font="Symbol" w:char="F0A7"/>
            </w:r>
            <w:r>
              <w:t xml:space="preserve"> Možnosť falšovania alebo zničenia certifikátov</w:t>
            </w:r>
            <w:r>
              <w:br/>
            </w:r>
            <w:r>
              <w:sym w:font="Symbol" w:char="F0A7"/>
            </w:r>
            <w:r>
              <w:t xml:space="preserve"> Nedostatočné vybudovanie bezpečnostných technológií a komponentov vo vládnom cloude v čase spustenia projektu</w:t>
            </w:r>
          </w:p>
        </w:tc>
        <w:tc>
          <w:tcPr>
            <w:tcW w:w="0" w:type="auto"/>
            <w:vAlign w:val="center"/>
            <w:hideMark/>
          </w:tcPr>
          <w:p w:rsidR="00000000" w:rsidRDefault="00501E77">
            <w:pPr>
              <w:rPr>
                <w:rFonts w:eastAsia="Times New Roman"/>
              </w:rPr>
            </w:pPr>
            <w:r>
              <w:rPr>
                <w:rStyle w:val="Siln"/>
                <w:rFonts w:eastAsia="Times New Roman"/>
              </w:rPr>
              <w:t>Spresnenie identifikovaných rizík:</w:t>
            </w:r>
          </w:p>
          <w:p w:rsidR="00000000" w:rsidRDefault="00501E77">
            <w:pPr>
              <w:pStyle w:val="Normlnywebov"/>
            </w:pPr>
            <w:r>
              <w:t>RS_01, RS_02</w:t>
            </w:r>
          </w:p>
        </w:tc>
      </w:tr>
      <w:tr w:rsidR="00000000">
        <w:trPr>
          <w:divId w:val="912929376"/>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w:t>
            </w:r>
            <w:r>
              <w:rPr>
                <w:rStyle w:val="Siln"/>
              </w:rPr>
              <w:t>šení</w:t>
            </w:r>
          </w:p>
        </w:tc>
      </w:tr>
      <w:tr w:rsidR="00000000">
        <w:trPr>
          <w:divId w:val="912929376"/>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sym w:font="Symbol" w:char="F0A7"/>
            </w:r>
            <w:r>
              <w:t xml:space="preserve"> Tabuľka 2 Riziká</w:t>
            </w:r>
            <w:r>
              <w:br/>
            </w:r>
            <w:r>
              <w:sym w:font="Symbol" w:char="F0A7"/>
            </w:r>
            <w:r>
              <w:t xml:space="preserve"> Tabuľka 3 Kritéria kvality</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3"/>
        <w:rPr>
          <w:rFonts w:eastAsia="Times New Roman"/>
        </w:rPr>
      </w:pPr>
      <w:r>
        <w:rPr>
          <w:rFonts w:eastAsia="Times New Roman"/>
        </w:rPr>
        <w:t>Prevádzka</w:t>
      </w:r>
    </w:p>
    <w:p w:rsidR="00000000" w:rsidRDefault="00501E77">
      <w:pPr>
        <w:pStyle w:val="Normlnywebov"/>
      </w:pPr>
      <w:r>
        <w:rPr>
          <w:rStyle w:val="Zvraznenie"/>
        </w:rPr>
        <w:t>Tabuľka 16 Prevádzka - budúci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463892766"/>
          <w:cantSplit/>
          <w:tblCellSpacing w:w="15" w:type="dxa"/>
        </w:trPr>
        <w:tc>
          <w:tcPr>
            <w:tcW w:w="0" w:type="auto"/>
            <w:gridSpan w:val="2"/>
            <w:vAlign w:val="center"/>
            <w:hideMark/>
          </w:tcPr>
          <w:p w:rsidR="00000000" w:rsidRDefault="00501E77">
            <w:pPr>
              <w:pStyle w:val="Normlnywebov"/>
            </w:pPr>
            <w:r>
              <w:rPr>
                <w:rStyle w:val="Siln"/>
              </w:rPr>
              <w:t>Súhrnný popis</w:t>
            </w:r>
          </w:p>
        </w:tc>
      </w:tr>
      <w:tr w:rsidR="00000000">
        <w:trPr>
          <w:divId w:val="463892766"/>
          <w:cantSplit/>
          <w:tblCellSpacing w:w="15" w:type="dxa"/>
        </w:trPr>
        <w:tc>
          <w:tcPr>
            <w:tcW w:w="0" w:type="auto"/>
            <w:gridSpan w:val="2"/>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p w:rsidR="00000000" w:rsidRDefault="00501E77">
            <w:pPr>
              <w:pStyle w:val="Normlnywebov"/>
            </w:pPr>
            <w:r>
              <w:t>Informačný systém DEI bude prevádzkovaný v prostredí</w:t>
            </w:r>
            <w:r>
              <w:t xml:space="preserve"> </w:t>
            </w:r>
            <w:r>
              <w:rPr>
                <w:rStyle w:val="inline-comment-marker"/>
              </w:rPr>
              <w:t>eG</w:t>
            </w:r>
            <w:r>
              <w:rPr>
                <w:rStyle w:val="inline-comment-marker"/>
              </w:rPr>
              <w:t>C</w:t>
            </w:r>
            <w:r>
              <w:t>. Využívať ho budú občania, školiace subjekty,</w:t>
            </w:r>
            <w:r>
              <w:t xml:space="preserve"> </w:t>
            </w:r>
            <w:r>
              <w:rPr>
                <w:rStyle w:val="inline-comment-marker"/>
              </w:rPr>
              <w:t>úrady prác</w:t>
            </w:r>
            <w:r>
              <w:rPr>
                <w:rStyle w:val="inline-comment-marker"/>
              </w:rPr>
              <w:t>e</w:t>
            </w:r>
            <w:r>
              <w:t xml:space="preserve"> a certifikační partneri. Niektoré činnos</w:t>
            </w:r>
            <w:r>
              <w:t xml:space="preserve">ti sú kritické najmä z dôvodu prítomnosti osôb na vopred určených lokalitách (úrady práce, certifikačné pracoviská). Vzhľadom na túto skutočnosť budú na tento systém kladené vysoké požiadavky týkajúce sa jeho prevádzky, keďže nedostupnosť systému môže mať </w:t>
            </w:r>
            <w:r>
              <w:t>významné dôsledky na chod organizácií, ktoré tento systém budú využívať a náklady samotných osôb, ktoré sú povinné sa presúvať na vopred určené lokality. Pre moduly, zabezpečujúce tieto kritické činnosti je preto potrebné zabezpečenie vyššej dostupnosti ak</w:t>
            </w:r>
            <w:r>
              <w:t>o pre ostatné komponenty.</w:t>
            </w:r>
          </w:p>
          <w:p w:rsidR="00000000" w:rsidRDefault="00501E77">
            <w:pPr>
              <w:pStyle w:val="Normlnywebov"/>
            </w:pPr>
            <w:r>
              <w:t>Samotná prevádzka riešenia bude prebiehať v datacentre vládneho cloudu na základe nastavenia využívaných služieb IaaS a PaaS.</w:t>
            </w:r>
          </w:p>
          <w:p w:rsidR="00000000" w:rsidRDefault="00501E77">
            <w:pPr>
              <w:pStyle w:val="Normlnywebov"/>
            </w:pPr>
            <w:r>
              <w:t>Z hľadiska prevádzky systému sú (predbežne) definované nasledujúce minimálne požiadavky:</w:t>
            </w:r>
          </w:p>
          <w:p w:rsidR="00000000" w:rsidRDefault="00501E77">
            <w:pPr>
              <w:numPr>
                <w:ilvl w:val="0"/>
                <w:numId w:val="31"/>
              </w:numPr>
              <w:spacing w:before="100" w:beforeAutospacing="1" w:after="100" w:afterAutospacing="1"/>
              <w:rPr>
                <w:rFonts w:eastAsia="Times New Roman"/>
              </w:rPr>
            </w:pPr>
            <w:r>
              <w:rPr>
                <w:rFonts w:eastAsia="Times New Roman"/>
              </w:rPr>
              <w:t>Miera dostupnos</w:t>
            </w:r>
            <w:r>
              <w:rPr>
                <w:rFonts w:eastAsia="Times New Roman"/>
              </w:rPr>
              <w:t xml:space="preserve">ti: </w:t>
            </w:r>
          </w:p>
          <w:p w:rsidR="00000000" w:rsidRDefault="00501E77">
            <w:pPr>
              <w:numPr>
                <w:ilvl w:val="1"/>
                <w:numId w:val="31"/>
              </w:numPr>
              <w:spacing w:before="100" w:beforeAutospacing="1" w:after="100" w:afterAutospacing="1"/>
              <w:rPr>
                <w:rFonts w:eastAsia="Times New Roman"/>
              </w:rPr>
            </w:pPr>
            <w:r>
              <w:rPr>
                <w:rStyle w:val="inline-comment-marker"/>
                <w:rFonts w:eastAsia="Times New Roman"/>
              </w:rPr>
              <w:t>12x7 dostupnosť 98%, doba odstránenia poruchy do 2 hodí</w:t>
            </w:r>
            <w:r>
              <w:rPr>
                <w:rStyle w:val="inline-comment-marker"/>
                <w:rFonts w:eastAsia="Times New Roman"/>
              </w:rPr>
              <w:t>n</w:t>
            </w:r>
            <w:r>
              <w:rPr>
                <w:rFonts w:eastAsia="Times New Roman"/>
              </w:rPr>
              <w:t xml:space="preserve"> </w:t>
            </w:r>
          </w:p>
          <w:p w:rsidR="00000000" w:rsidRDefault="00501E77">
            <w:pPr>
              <w:numPr>
                <w:ilvl w:val="2"/>
                <w:numId w:val="31"/>
              </w:numPr>
              <w:spacing w:before="100" w:beforeAutospacing="1" w:after="100" w:afterAutospacing="1"/>
              <w:rPr>
                <w:rFonts w:eastAsia="Times New Roman"/>
              </w:rPr>
            </w:pPr>
            <w:r>
              <w:rPr>
                <w:rStyle w:val="inline-comment-marker"/>
                <w:rFonts w:eastAsia="Times New Roman"/>
              </w:rPr>
              <w:t>modul riadenia certifikáci</w:t>
            </w:r>
            <w:r>
              <w:rPr>
                <w:rStyle w:val="inline-comment-marker"/>
                <w:rFonts w:eastAsia="Times New Roman"/>
              </w:rPr>
              <w:t>í</w:t>
            </w:r>
          </w:p>
          <w:p w:rsidR="00000000" w:rsidRDefault="00501E77">
            <w:pPr>
              <w:numPr>
                <w:ilvl w:val="2"/>
                <w:numId w:val="31"/>
              </w:numPr>
              <w:spacing w:before="100" w:beforeAutospacing="1" w:after="100" w:afterAutospacing="1"/>
              <w:rPr>
                <w:rFonts w:eastAsia="Times New Roman"/>
              </w:rPr>
            </w:pPr>
            <w:r>
              <w:rPr>
                <w:rStyle w:val="inline-comment-marker"/>
                <w:rFonts w:eastAsia="Times New Roman"/>
              </w:rPr>
              <w:t>register certifikáto</w:t>
            </w:r>
            <w:r>
              <w:rPr>
                <w:rStyle w:val="inline-comment-marker"/>
                <w:rFonts w:eastAsia="Times New Roman"/>
              </w:rPr>
              <w:t>v</w:t>
            </w:r>
          </w:p>
          <w:p w:rsidR="00000000" w:rsidRDefault="00501E77">
            <w:pPr>
              <w:numPr>
                <w:ilvl w:val="1"/>
                <w:numId w:val="31"/>
              </w:numPr>
              <w:spacing w:before="100" w:beforeAutospacing="1" w:after="100" w:afterAutospacing="1"/>
              <w:rPr>
                <w:rFonts w:eastAsia="Times New Roman"/>
              </w:rPr>
            </w:pPr>
            <w:r>
              <w:rPr>
                <w:rStyle w:val="inline-comment-marker"/>
                <w:rFonts w:eastAsia="Times New Roman"/>
              </w:rPr>
              <w:t> 24x7, dostupnosť 95%, doba odstránenia poruchy nasledujúci pracovný de</w:t>
            </w:r>
            <w:r>
              <w:rPr>
                <w:rStyle w:val="inline-comment-marker"/>
                <w:rFonts w:eastAsia="Times New Roman"/>
              </w:rPr>
              <w:t>ň</w:t>
            </w:r>
            <w:r>
              <w:rPr>
                <w:rFonts w:eastAsia="Times New Roman"/>
              </w:rPr>
              <w:t xml:space="preserve"> </w:t>
            </w:r>
          </w:p>
          <w:p w:rsidR="00000000" w:rsidRDefault="00501E77">
            <w:pPr>
              <w:numPr>
                <w:ilvl w:val="2"/>
                <w:numId w:val="31"/>
              </w:numPr>
              <w:spacing w:before="100" w:beforeAutospacing="1" w:after="100" w:afterAutospacing="1"/>
              <w:rPr>
                <w:rFonts w:eastAsia="Times New Roman"/>
              </w:rPr>
            </w:pPr>
            <w:r>
              <w:rPr>
                <w:rStyle w:val="inline-comment-marker"/>
                <w:rFonts w:eastAsia="Times New Roman"/>
              </w:rPr>
              <w:t>ostatné modul</w:t>
            </w:r>
            <w:r>
              <w:rPr>
                <w:rStyle w:val="inline-comment-marker"/>
                <w:rFonts w:eastAsia="Times New Roman"/>
              </w:rPr>
              <w:t>y</w:t>
            </w:r>
          </w:p>
          <w:p w:rsidR="00000000" w:rsidRDefault="00501E77">
            <w:pPr>
              <w:numPr>
                <w:ilvl w:val="0"/>
                <w:numId w:val="31"/>
              </w:numPr>
              <w:spacing w:before="100" w:beforeAutospacing="1" w:after="100" w:afterAutospacing="1"/>
              <w:rPr>
                <w:rFonts w:eastAsia="Times New Roman"/>
              </w:rPr>
            </w:pPr>
            <w:r>
              <w:rPr>
                <w:rFonts w:eastAsia="Times New Roman"/>
              </w:rPr>
              <w:t>Forma podpory: telefonická, email, ServiceDesk, podpora priamo na mieste,</w:t>
            </w:r>
          </w:p>
          <w:p w:rsidR="00000000" w:rsidRDefault="00501E77">
            <w:pPr>
              <w:numPr>
                <w:ilvl w:val="0"/>
                <w:numId w:val="31"/>
              </w:numPr>
              <w:spacing w:before="100" w:beforeAutospacing="1" w:after="100" w:afterAutospacing="1"/>
              <w:rPr>
                <w:rFonts w:eastAsia="Times New Roman"/>
              </w:rPr>
            </w:pPr>
            <w:r>
              <w:rPr>
                <w:rFonts w:eastAsia="Times New Roman"/>
              </w:rPr>
              <w:t>Riešenie redundancie technických prostriedkov: podľa návrhu v technologickej architektúre</w:t>
            </w:r>
          </w:p>
          <w:p w:rsidR="00000000" w:rsidRDefault="00501E77">
            <w:pPr>
              <w:pStyle w:val="Normlnywebov"/>
            </w:pPr>
            <w:r>
              <w:t>Detailnejšie požiadavky na prevádzku budú upresnené na základe úrovne poskytovania služieb v</w:t>
            </w:r>
            <w:r>
              <w:t>ládneho cloudu v čase nasadzovania projektu. Presné zapojenie zariadení a nastavenie aktívnych sieťových prvkov bude súčasťou návrhu komunikačnej matice, ktorá musí byť dodaná ako výstup v rámci detailnej funkčnej špecifikácie (fáza Analýza a návrh).</w:t>
            </w:r>
          </w:p>
          <w:p w:rsidR="00000000" w:rsidRDefault="00501E77">
            <w:pPr>
              <w:pStyle w:val="Normlnywebov"/>
            </w:pPr>
            <w:r>
              <w:t>Prevá</w:t>
            </w:r>
            <w:r>
              <w:t>dzkovateľ DEI bude zabezpečovať:</w:t>
            </w:r>
          </w:p>
          <w:p w:rsidR="00000000" w:rsidRDefault="00501E77">
            <w:pPr>
              <w:numPr>
                <w:ilvl w:val="0"/>
                <w:numId w:val="32"/>
              </w:numPr>
              <w:spacing w:before="100" w:beforeAutospacing="1" w:after="100" w:afterAutospacing="1"/>
              <w:rPr>
                <w:rFonts w:eastAsia="Times New Roman"/>
              </w:rPr>
            </w:pPr>
            <w:r>
              <w:rPr>
                <w:rFonts w:eastAsia="Times New Roman"/>
              </w:rPr>
              <w:t>výkon činností v zmysle zákona č. 275/2006 Z. z. o informačných systémoch verejnej správy</w:t>
            </w:r>
          </w:p>
          <w:p w:rsidR="00000000" w:rsidRDefault="00501E77">
            <w:pPr>
              <w:numPr>
                <w:ilvl w:val="0"/>
                <w:numId w:val="32"/>
              </w:numPr>
              <w:spacing w:before="100" w:beforeAutospacing="1" w:after="100" w:afterAutospacing="1"/>
              <w:rPr>
                <w:rFonts w:eastAsia="Times New Roman"/>
              </w:rPr>
            </w:pPr>
            <w:r>
              <w:rPr>
                <w:rFonts w:eastAsia="Times New Roman"/>
              </w:rPr>
              <w:t>riadenie rozvoja modulov, zmien a integrácií DEI v súlade so snahou o zabezpečenie maximálnej miery inovácie</w:t>
            </w:r>
          </w:p>
          <w:p w:rsidR="00000000" w:rsidRDefault="00501E77">
            <w:pPr>
              <w:numPr>
                <w:ilvl w:val="0"/>
                <w:numId w:val="32"/>
              </w:numPr>
              <w:spacing w:before="100" w:beforeAutospacing="1" w:after="100" w:afterAutospacing="1"/>
              <w:rPr>
                <w:rFonts w:eastAsia="Times New Roman"/>
              </w:rPr>
            </w:pPr>
            <w:r>
              <w:rPr>
                <w:rFonts w:eastAsia="Times New Roman"/>
              </w:rPr>
              <w:t>riešenie incidentov, pro</w:t>
            </w:r>
            <w:r>
              <w:rPr>
                <w:rFonts w:eastAsia="Times New Roman"/>
              </w:rPr>
              <w:t>fylaktiky, záplat a podobne</w:t>
            </w:r>
          </w:p>
          <w:p w:rsidR="00000000" w:rsidRDefault="00501E77">
            <w:pPr>
              <w:pStyle w:val="Normlnywebov"/>
            </w:pPr>
            <w:r>
              <w:t>Prevádzkovateľom riešenia budú inštitúcie, zabezpečujúce technické prevádzky, menovite MV SR v časti využívaných cloudových služieb a ÚPPVII resp. ním poverený subjekt (ďalej ÚPPVII) v časti prevádzky aplikácií.</w:t>
            </w:r>
          </w:p>
          <w:p w:rsidR="00000000" w:rsidRDefault="00501E77">
            <w:pPr>
              <w:pStyle w:val="Normlnywebov"/>
            </w:pPr>
            <w:r>
              <w:t>Pre samotný výko</w:t>
            </w:r>
            <w:r>
              <w:t>n podpory riešenia predpokladáme využitie trojvrstvovej úrovne podpory:</w:t>
            </w:r>
          </w:p>
          <w:p w:rsidR="00000000" w:rsidRDefault="00501E77">
            <w:pPr>
              <w:numPr>
                <w:ilvl w:val="1"/>
                <w:numId w:val="33"/>
              </w:numPr>
              <w:spacing w:before="100" w:beforeAutospacing="1" w:after="100" w:afterAutospacing="1"/>
              <w:rPr>
                <w:rFonts w:eastAsia="Times New Roman"/>
              </w:rPr>
            </w:pPr>
            <w:r>
              <w:rPr>
                <w:rFonts w:eastAsia="Times New Roman"/>
              </w:rPr>
              <w:t>prvú úroveň podpory (L1) bude zabezpečovať ÚPPVII ,</w:t>
            </w:r>
          </w:p>
          <w:p w:rsidR="00000000" w:rsidRDefault="00501E77">
            <w:pPr>
              <w:numPr>
                <w:ilvl w:val="1"/>
                <w:numId w:val="33"/>
              </w:numPr>
              <w:spacing w:before="100" w:beforeAutospacing="1" w:after="100" w:afterAutospacing="1"/>
              <w:rPr>
                <w:rFonts w:eastAsia="Times New Roman"/>
              </w:rPr>
            </w:pPr>
            <w:r>
              <w:rPr>
                <w:rFonts w:eastAsia="Times New Roman"/>
              </w:rPr>
              <w:t>podpora druhej úrovne (L2) bude zabezpečovaná</w:t>
            </w:r>
          </w:p>
          <w:p w:rsidR="00000000" w:rsidRDefault="00501E77">
            <w:pPr>
              <w:numPr>
                <w:ilvl w:val="2"/>
                <w:numId w:val="33"/>
              </w:numPr>
              <w:spacing w:before="100" w:beforeAutospacing="1" w:after="100" w:afterAutospacing="1"/>
              <w:rPr>
                <w:rFonts w:eastAsia="Times New Roman"/>
              </w:rPr>
            </w:pPr>
            <w:r>
              <w:rPr>
                <w:rFonts w:eastAsia="Times New Roman"/>
              </w:rPr>
              <w:t>ÚPPVII pre otázky týkajúce sa funkčnosti modulov,</w:t>
            </w:r>
          </w:p>
          <w:p w:rsidR="00000000" w:rsidRDefault="00501E77">
            <w:pPr>
              <w:numPr>
                <w:ilvl w:val="2"/>
                <w:numId w:val="33"/>
              </w:numPr>
              <w:spacing w:before="100" w:beforeAutospacing="1" w:after="100" w:afterAutospacing="1"/>
              <w:rPr>
                <w:rFonts w:eastAsia="Times New Roman"/>
              </w:rPr>
            </w:pPr>
            <w:r>
              <w:rPr>
                <w:rFonts w:eastAsia="Times New Roman"/>
              </w:rPr>
              <w:t>prevádzkovateľom eGC pre incidenty t</w:t>
            </w:r>
            <w:r>
              <w:rPr>
                <w:rFonts w:eastAsia="Times New Roman"/>
              </w:rPr>
              <w:t>ýkajúce sa služieb eGC (predovšetkým infraštruktúrne a technologické požiadavky),</w:t>
            </w:r>
          </w:p>
          <w:p w:rsidR="00000000" w:rsidRDefault="00501E77">
            <w:pPr>
              <w:numPr>
                <w:ilvl w:val="1"/>
                <w:numId w:val="33"/>
              </w:numPr>
              <w:spacing w:before="100" w:beforeAutospacing="1" w:after="100" w:afterAutospacing="1"/>
              <w:rPr>
                <w:rFonts w:eastAsia="Times New Roman"/>
              </w:rPr>
            </w:pPr>
            <w:r>
              <w:rPr>
                <w:rFonts w:eastAsia="Times New Roman"/>
              </w:rPr>
              <w:t>tretia úroveň podpory (L3), bude zabezpečovaná dodávateľom/dodávateľmi riešenia.</w:t>
            </w:r>
          </w:p>
          <w:p w:rsidR="00000000" w:rsidRDefault="00501E77">
            <w:pPr>
              <w:pStyle w:val="Normlnywebov"/>
            </w:pPr>
            <w:r>
              <w:t xml:space="preserve">V rámci prvej úrovne podpory bude realizovaný príjem a identifikácia požiadaviek s následným </w:t>
            </w:r>
            <w:r>
              <w:t>smerovaním na konkrétneho riešiteľa v ÚPPVII L2 resp. eGC L2. Druhá úroveň podpory, poskytovaná ÚPPVII bude rozdelená na viac oblastí podľa jednotlivých biznis funkcií systému DEI. Tretia úroveň bude podľa potreby zabezpečovaná dodávateľom diela. Prevádzko</w:t>
            </w:r>
            <w:r>
              <w:t>vanie L2 bude personálne zabezpečené dostatočným počtom riešiteľov (garantov za jednotlivé oblasti), ktorých počet bude narastať v závislosti od nárastu používateľov systému a počtu certifikačných testov.</w:t>
            </w:r>
          </w:p>
          <w:p w:rsidR="00000000" w:rsidRDefault="00501E77">
            <w:pPr>
              <w:pStyle w:val="Normlnywebov"/>
            </w:pPr>
            <w:r>
              <w:t>Okrem samotnej prevádzky systémov bude súčasťou pre</w:t>
            </w:r>
            <w:r>
              <w:t>vádzky aj zabezpečovanie jednotlivých aktivít a výstupov správcom systému. Medzi budú patriť najmä:</w:t>
            </w:r>
          </w:p>
          <w:p w:rsidR="00000000" w:rsidRDefault="00501E77">
            <w:pPr>
              <w:numPr>
                <w:ilvl w:val="0"/>
                <w:numId w:val="34"/>
              </w:numPr>
              <w:spacing w:before="100" w:beforeAutospacing="1" w:after="100" w:afterAutospacing="1"/>
              <w:rPr>
                <w:rFonts w:eastAsia="Times New Roman"/>
              </w:rPr>
            </w:pPr>
            <w:r>
              <w:rPr>
                <w:rFonts w:eastAsia="Times New Roman"/>
              </w:rPr>
              <w:t>vydávanie certifikátov (automatizované, podpisované pečaťou CMPP)</w:t>
            </w:r>
          </w:p>
          <w:p w:rsidR="00000000" w:rsidRDefault="00501E77">
            <w:pPr>
              <w:numPr>
                <w:ilvl w:val="0"/>
                <w:numId w:val="34"/>
              </w:numPr>
              <w:spacing w:before="100" w:beforeAutospacing="1" w:after="100" w:afterAutospacing="1"/>
              <w:rPr>
                <w:rFonts w:eastAsia="Times New Roman"/>
              </w:rPr>
            </w:pPr>
            <w:r>
              <w:rPr>
                <w:rFonts w:eastAsia="Times New Roman"/>
              </w:rPr>
              <w:t>akreditácia pracovísk firiem pre certifikáciu</w:t>
            </w:r>
          </w:p>
          <w:p w:rsidR="00000000" w:rsidRDefault="00501E77">
            <w:pPr>
              <w:numPr>
                <w:ilvl w:val="0"/>
                <w:numId w:val="34"/>
              </w:numPr>
              <w:spacing w:before="100" w:beforeAutospacing="1" w:after="100" w:afterAutospacing="1"/>
              <w:rPr>
                <w:rFonts w:eastAsia="Times New Roman"/>
              </w:rPr>
            </w:pPr>
            <w:r>
              <w:rPr>
                <w:rFonts w:eastAsia="Times New Roman"/>
              </w:rPr>
              <w:t>koordinácia aktivít v rámci programu</w:t>
            </w:r>
          </w:p>
          <w:p w:rsidR="00000000" w:rsidRDefault="00501E77">
            <w:pPr>
              <w:numPr>
                <w:ilvl w:val="0"/>
                <w:numId w:val="34"/>
              </w:numPr>
              <w:spacing w:before="100" w:beforeAutospacing="1" w:after="100" w:afterAutospacing="1"/>
              <w:rPr>
                <w:rFonts w:eastAsia="Times New Roman"/>
              </w:rPr>
            </w:pPr>
            <w:r>
              <w:rPr>
                <w:rFonts w:eastAsia="Times New Roman"/>
              </w:rPr>
              <w:t>iné</w:t>
            </w:r>
          </w:p>
          <w:p w:rsidR="00000000" w:rsidRDefault="00501E77">
            <w:pPr>
              <w:pStyle w:val="Normlnywebov"/>
            </w:pPr>
            <w:r>
              <w:t>Z </w:t>
            </w:r>
            <w:r>
              <w:t>dlhodobého hľadiska, presahujúceho sledované obdobie udržateľnosti projektu bude v budúcnosti potrebné zabezpečiť nasledujúce činnosti:</w:t>
            </w:r>
          </w:p>
          <w:p w:rsidR="00000000" w:rsidRDefault="00501E77">
            <w:pPr>
              <w:numPr>
                <w:ilvl w:val="0"/>
                <w:numId w:val="35"/>
              </w:numPr>
              <w:spacing w:before="100" w:beforeAutospacing="1" w:after="100" w:afterAutospacing="1"/>
              <w:rPr>
                <w:rFonts w:eastAsia="Times New Roman"/>
              </w:rPr>
            </w:pPr>
            <w:r>
              <w:rPr>
                <w:rFonts w:eastAsia="Times New Roman"/>
              </w:rPr>
              <w:t>aktualizácia testov</w:t>
            </w:r>
          </w:p>
          <w:p w:rsidR="00000000" w:rsidRDefault="00501E77">
            <w:pPr>
              <w:numPr>
                <w:ilvl w:val="0"/>
                <w:numId w:val="35"/>
              </w:numPr>
              <w:spacing w:before="100" w:beforeAutospacing="1" w:after="100" w:afterAutospacing="1"/>
              <w:rPr>
                <w:rFonts w:eastAsia="Times New Roman"/>
              </w:rPr>
            </w:pPr>
            <w:r>
              <w:rPr>
                <w:rFonts w:eastAsia="Times New Roman"/>
              </w:rPr>
              <w:t>rozširovanie počtu testovacích položiek</w:t>
            </w:r>
          </w:p>
          <w:p w:rsidR="00000000" w:rsidRDefault="00501E77">
            <w:pPr>
              <w:divId w:val="132873361"/>
              <w:rPr>
                <w:rFonts w:eastAsia="Times New Roman"/>
              </w:rPr>
            </w:pPr>
            <w:r>
              <w:rPr>
                <w:rFonts w:eastAsia="Times New Roman"/>
              </w:rPr>
              <w:pict>
                <v:rect id="_x0000_i1027" style="width:0;height:1.5pt" o:hralign="center" o:hrstd="t" o:hr="t" fillcolor="#a0a0a0" stroked="f"/>
              </w:pict>
            </w:r>
          </w:p>
          <w:p w:rsidR="00000000" w:rsidRDefault="00501E77">
            <w:pPr>
              <w:pStyle w:val="Normlnywebov"/>
              <w:divId w:val="1982036193"/>
            </w:pPr>
            <w:r>
              <w:t> </w:t>
            </w:r>
          </w:p>
        </w:tc>
      </w:tr>
      <w:tr w:rsidR="00000000">
        <w:trPr>
          <w:divId w:val="463892766"/>
          <w:cantSplit/>
          <w:tblCellSpacing w:w="15" w:type="dxa"/>
        </w:trPr>
        <w:tc>
          <w:tcPr>
            <w:tcW w:w="0" w:type="auto"/>
            <w:gridSpan w:val="2"/>
            <w:vAlign w:val="center"/>
            <w:hideMark/>
          </w:tcPr>
          <w:p w:rsidR="00000000" w:rsidRDefault="00501E77">
            <w:pPr>
              <w:pStyle w:val="Normlnywebov"/>
            </w:pPr>
            <w:r>
              <w:rPr>
                <w:rStyle w:val="Zvraznenie"/>
              </w:rPr>
              <w:t>Priestor pre sumárny</w:t>
            </w:r>
            <w:r>
              <w:rPr>
                <w:rStyle w:val="Zvraznenie"/>
              </w:rPr>
              <w:t xml:space="preserve"> obrázok / graf / diagram, nepovinná informácia.</w:t>
            </w:r>
          </w:p>
          <w:p w:rsidR="00000000" w:rsidRDefault="00501E77">
            <w:pPr>
              <w:pStyle w:val="Normlnywebov"/>
            </w:pPr>
            <w:r>
              <w:t> </w:t>
            </w:r>
          </w:p>
        </w:tc>
      </w:tr>
      <w:tr w:rsidR="00000000">
        <w:trPr>
          <w:divId w:val="463892766"/>
          <w:cantSplit/>
          <w:tblCellSpacing w:w="15" w:type="dxa"/>
        </w:trPr>
        <w:tc>
          <w:tcPr>
            <w:tcW w:w="0" w:type="auto"/>
            <w:gridSpan w:val="2"/>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prílohy)</w:t>
            </w:r>
          </w:p>
          <w:p w:rsidR="00000000" w:rsidRDefault="00501E77">
            <w:pPr>
              <w:pStyle w:val="Normlnywebov"/>
            </w:pPr>
            <w:r>
              <w:t>Cieľom pri zabezpečení prevádzky DEI je dosiahnuť, aby maximum prác súvisiacich so správou a podporou prevádzky DEI bo</w:t>
            </w:r>
            <w:r>
              <w:t>lo realizované zamestnancami rezortu ÚPPVII (napríklad NASES) a eGC a aby rozsah aplikačnej podpory prenášanej na dodávateľa bol minimalizovaný. Pridruženým cieľom je v maximálnej možnej miere odbremeniť jednotlivé zapojené subjekty štátnej správy od činno</w:t>
            </w:r>
            <w:r>
              <w:t>stí súvisiacich s prevádzkou DEI.</w:t>
            </w:r>
          </w:p>
          <w:p w:rsidR="00000000" w:rsidRDefault="00501E77">
            <w:pPr>
              <w:pStyle w:val="Normlnywebov"/>
            </w:pPr>
            <w:r>
              <w:t>Súčasťou prevádzky musí byť aj monitorovanie poskytovaných služieb a zverejnenie výsledkov na MetaIS.</w:t>
            </w:r>
          </w:p>
        </w:tc>
      </w:tr>
      <w:tr w:rsidR="00000000">
        <w:trPr>
          <w:divId w:val="463892766"/>
          <w:cantSplit/>
          <w:tblCellSpacing w:w="15" w:type="dxa"/>
        </w:trPr>
        <w:tc>
          <w:tcPr>
            <w:tcW w:w="0" w:type="auto"/>
            <w:vAlign w:val="center"/>
            <w:hideMark/>
          </w:tcPr>
          <w:p w:rsidR="00000000" w:rsidRDefault="00501E77">
            <w:pPr>
              <w:pStyle w:val="Normlnywebov"/>
            </w:pPr>
            <w:r>
              <w:rPr>
                <w:rStyle w:val="Siln"/>
              </w:rPr>
              <w:t>Kritéria kvality</w:t>
            </w:r>
          </w:p>
          <w:p w:rsidR="00000000" w:rsidRDefault="00501E77">
            <w:pPr>
              <w:pStyle w:val="Normlnywebov"/>
            </w:pPr>
            <w:r>
              <w:sym w:font="Symbol" w:char="F0A7"/>
            </w:r>
            <w:r>
              <w:t xml:space="preserve"> Používateľská dokumentácia k DEI </w:t>
            </w:r>
            <w:r>
              <w:br/>
            </w:r>
            <w:r>
              <w:sym w:font="Symbol" w:char="F0A7"/>
            </w:r>
            <w:r>
              <w:t xml:space="preserve"> Prevádzková dokumentácia k DEI</w:t>
            </w:r>
            <w:r>
              <w:br/>
            </w:r>
            <w:r>
              <w:sym w:font="Symbol" w:char="F0A7"/>
            </w:r>
            <w:r>
              <w:t xml:space="preserve"> Kontinuálny rast kvality a efe</w:t>
            </w:r>
            <w:r>
              <w:t>ktivity procesov cez metodickú podporu a manažment zmien</w:t>
            </w:r>
            <w:r>
              <w:br/>
            </w:r>
            <w:r>
              <w:sym w:font="Symbol" w:char="F0A7"/>
            </w:r>
            <w:r>
              <w:t xml:space="preserve"> Možnosti testovania a školení (testovacie a školiace prostredie pre partnerov a certifikačných partnerov</w:t>
            </w:r>
          </w:p>
        </w:tc>
        <w:tc>
          <w:tcPr>
            <w:tcW w:w="0" w:type="auto"/>
            <w:vAlign w:val="center"/>
            <w:hideMark/>
          </w:tcPr>
          <w:p w:rsidR="00000000" w:rsidRDefault="00501E77">
            <w:pPr>
              <w:pStyle w:val="Normlnywebov"/>
            </w:pPr>
            <w:r>
              <w:rPr>
                <w:rStyle w:val="Siln"/>
              </w:rPr>
              <w:t>Spresnenie kritérií kvality:</w:t>
            </w:r>
            <w:r>
              <w:t xml:space="preserve"> </w:t>
            </w:r>
            <w:r>
              <w:br/>
              <w:t>QP_01, QP_02, QP_03, QP_04</w:t>
            </w:r>
          </w:p>
        </w:tc>
      </w:tr>
      <w:tr w:rsidR="00000000">
        <w:trPr>
          <w:divId w:val="463892766"/>
          <w:cantSplit/>
          <w:tblCellSpacing w:w="15" w:type="dxa"/>
        </w:trPr>
        <w:tc>
          <w:tcPr>
            <w:tcW w:w="0" w:type="auto"/>
            <w:vAlign w:val="center"/>
            <w:hideMark/>
          </w:tcPr>
          <w:p w:rsidR="00000000" w:rsidRDefault="00501E77">
            <w:pPr>
              <w:pStyle w:val="Normlnywebov"/>
            </w:pPr>
            <w:r>
              <w:rPr>
                <w:rStyle w:val="Siln"/>
              </w:rPr>
              <w:t> Riziká</w:t>
            </w:r>
          </w:p>
          <w:p w:rsidR="00000000" w:rsidRDefault="00501E77">
            <w:pPr>
              <w:pStyle w:val="Normlnywebov"/>
            </w:pPr>
            <w:r>
              <w:sym w:font="Symbol" w:char="F0A7"/>
            </w:r>
            <w:r>
              <w:t xml:space="preserve"> Služby nebudú poskytované v dostatočnej kvalite (vyskytne sa veľké množstvo chýb, dlhé doby odozvy a pod.)</w:t>
            </w:r>
            <w:r>
              <w:br/>
            </w:r>
            <w:r>
              <w:sym w:font="Symbol" w:char="F0A7"/>
            </w:r>
            <w:r>
              <w:t xml:space="preserve"> Organizačné zabezpečenie podpory nedokáže včas vybudovať štruktúru s dostatočnými skúsenosťami a kvalifikáciou</w:t>
            </w:r>
            <w:r>
              <w:br/>
            </w:r>
            <w:r>
              <w:sym w:font="Symbol" w:char="F0A7"/>
            </w:r>
            <w:r>
              <w:t xml:space="preserve"> Reakcia na vyriešenie metodicko-p</w:t>
            </w:r>
            <w:r>
              <w:t>rocesnej požiadavky bude príliš dlhá a ťažkopádna</w:t>
            </w:r>
            <w:r>
              <w:br/>
            </w:r>
            <w:r>
              <w:sym w:font="Symbol" w:char="F0A7"/>
            </w:r>
            <w:r>
              <w:t xml:space="preserve"> Nepodarí sa nastaviť proces efektívnej spätnej väzby, inovatívne iniciatívy nebudú presadzované a dôjde k „zamrznutiu“ procesov v neželanom stave</w:t>
            </w:r>
            <w:r>
              <w:br/>
            </w:r>
            <w:r>
              <w:sym w:font="Symbol" w:char="F0A7"/>
            </w:r>
            <w:r>
              <w:t xml:space="preserve"> Nepodarí sa vybudovať ekosystém</w:t>
            </w:r>
          </w:p>
          <w:p w:rsidR="00000000" w:rsidRDefault="00501E77">
            <w:pPr>
              <w:pStyle w:val="Normlnywebov"/>
            </w:pPr>
            <w:r>
              <w:sym w:font="Symbol" w:char="F0A7"/>
            </w:r>
            <w:r>
              <w:t xml:space="preserve"> Nepodarí sa vytvoriť C</w:t>
            </w:r>
            <w:r>
              <w:t>MPP pred spustením projektu do prevádzky</w:t>
            </w:r>
          </w:p>
        </w:tc>
        <w:tc>
          <w:tcPr>
            <w:tcW w:w="0" w:type="auto"/>
            <w:vAlign w:val="center"/>
            <w:hideMark/>
          </w:tcPr>
          <w:p w:rsidR="00000000" w:rsidRDefault="00501E77">
            <w:pPr>
              <w:rPr>
                <w:rFonts w:eastAsia="Times New Roman"/>
              </w:rPr>
            </w:pPr>
            <w:r>
              <w:rPr>
                <w:rStyle w:val="Siln"/>
                <w:rFonts w:eastAsia="Times New Roman"/>
              </w:rPr>
              <w:t>Spresnenie identifikovaných rizík:</w:t>
            </w:r>
          </w:p>
          <w:p w:rsidR="00000000" w:rsidRDefault="00501E77">
            <w:pPr>
              <w:pStyle w:val="Normlnywebov"/>
            </w:pPr>
            <w:r>
              <w:t>RP_01, RP_02, RP_03, RP_04, RP_05, RB_06</w:t>
            </w:r>
          </w:p>
        </w:tc>
      </w:tr>
      <w:tr w:rsidR="00000000">
        <w:trPr>
          <w:divId w:val="463892766"/>
          <w:cantSplit/>
          <w:tblCellSpacing w:w="15" w:type="dxa"/>
        </w:trPr>
        <w:tc>
          <w:tcPr>
            <w:tcW w:w="0" w:type="auto"/>
            <w:vAlign w:val="center"/>
            <w:hideMark/>
          </w:tcPr>
          <w:p w:rsidR="00000000" w:rsidRDefault="00501E77">
            <w:pPr>
              <w:pStyle w:val="Normlnywebov"/>
            </w:pPr>
            <w:r>
              <w:rPr>
                <w:rStyle w:val="Siln"/>
              </w:rPr>
              <w:t>Prílohy</w:t>
            </w:r>
          </w:p>
        </w:tc>
        <w:tc>
          <w:tcPr>
            <w:tcW w:w="0" w:type="auto"/>
            <w:vAlign w:val="center"/>
            <w:hideMark/>
          </w:tcPr>
          <w:p w:rsidR="00000000" w:rsidRDefault="00501E77">
            <w:pPr>
              <w:pStyle w:val="Normlnywebov"/>
            </w:pPr>
            <w:r>
              <w:rPr>
                <w:rStyle w:val="Siln"/>
              </w:rPr>
              <w:t>Diagramy, modely, obrázky v plnom rozlíšení</w:t>
            </w:r>
          </w:p>
        </w:tc>
      </w:tr>
      <w:tr w:rsidR="00000000">
        <w:trPr>
          <w:divId w:val="463892766"/>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sym w:font="Symbol" w:char="F0A7"/>
            </w:r>
            <w:r>
              <w:t xml:space="preserve"> Tabuľka 2 Riziká</w:t>
            </w:r>
            <w:r>
              <w:br/>
            </w:r>
            <w:r>
              <w:sym w:font="Symbol" w:char="F0A7"/>
            </w:r>
            <w:r>
              <w:t xml:space="preserve"> Tabuľka 3 Kritéria kvality</w:t>
            </w:r>
            <w:r>
              <w:br/>
            </w:r>
            <w:r>
              <w:sym w:font="Symbol" w:char="F0A7"/>
            </w:r>
            <w:r>
              <w:t xml:space="preserve"> Tabuľka 22 Dodávateľská podpora</w:t>
            </w:r>
            <w:r>
              <w:br/>
            </w:r>
            <w:r>
              <w:sym w:font="Symbol" w:char="F0A7"/>
            </w:r>
            <w:r>
              <w:t xml:space="preserve"> Tabuľka 23 Podpora vlastnými zdrojmi</w:t>
            </w:r>
          </w:p>
        </w:tc>
        <w:tc>
          <w:tcPr>
            <w:tcW w:w="0" w:type="auto"/>
            <w:vAlign w:val="center"/>
            <w:hideMark/>
          </w:tcPr>
          <w:p w:rsidR="00000000" w:rsidRDefault="00501E77">
            <w:pPr>
              <w:pStyle w:val="Normlnywebov"/>
            </w:pPr>
            <w:r>
              <w:rPr>
                <w:rStyle w:val="Zvraznenie"/>
              </w:rPr>
              <w:t>Odkazy na relevantné súbory. Prílohy obsahujú informácie vo forme modelov.</w:t>
            </w:r>
          </w:p>
        </w:tc>
      </w:tr>
    </w:tbl>
    <w:p w:rsidR="00000000" w:rsidRDefault="00501E77">
      <w:pPr>
        <w:pStyle w:val="Nadpis3"/>
        <w:rPr>
          <w:rFonts w:eastAsia="Times New Roman"/>
        </w:rPr>
      </w:pPr>
      <w:r>
        <w:rPr>
          <w:rStyle w:val="inline-comment-marker"/>
          <w:rFonts w:eastAsia="Times New Roman"/>
        </w:rPr>
        <w:t>Ekonomick</w:t>
      </w:r>
      <w:r>
        <w:rPr>
          <w:rStyle w:val="inline-comment-marker"/>
          <w:rFonts w:eastAsia="Times New Roman"/>
        </w:rPr>
        <w:t>á</w:t>
      </w:r>
      <w:r>
        <w:rPr>
          <w:rStyle w:val="inline-comment-marker"/>
          <w:rFonts w:eastAsia="Times New Roman"/>
        </w:rPr>
        <w:t xml:space="preserve"> analýz</w:t>
      </w:r>
      <w:r>
        <w:rPr>
          <w:rStyle w:val="inline-comment-marker"/>
          <w:rFonts w:eastAsia="Times New Roman"/>
        </w:rPr>
        <w:t>a</w:t>
      </w:r>
    </w:p>
    <w:p w:rsidR="00000000" w:rsidRDefault="00501E77">
      <w:pPr>
        <w:pStyle w:val="Normlnywebov"/>
      </w:pPr>
      <w:r>
        <w:rPr>
          <w:rStyle w:val="Zvraznenie"/>
        </w:rPr>
        <w:t>Tabuľka 17</w:t>
      </w:r>
      <w:r>
        <w:rPr>
          <w:rStyle w:val="Zvraznenie"/>
        </w:rPr>
        <w:t xml:space="preserve"> </w:t>
      </w:r>
      <w:r>
        <w:rPr>
          <w:rStyle w:val="inline-comment-marker"/>
          <w:i/>
          <w:iCs/>
        </w:rPr>
        <w:t>Ekonomick</w:t>
      </w:r>
      <w:r>
        <w:rPr>
          <w:rStyle w:val="inline-comment-marker"/>
          <w:i/>
          <w:iCs/>
        </w:rPr>
        <w:t>á</w:t>
      </w:r>
      <w:r>
        <w:rPr>
          <w:rStyle w:val="Zvraznenie"/>
        </w:rPr>
        <w:t xml:space="preserve"> </w:t>
      </w:r>
      <w:r>
        <w:rPr>
          <w:rStyle w:val="inline-comment-marker"/>
          <w:i/>
          <w:iCs/>
        </w:rPr>
        <w:t>analýz</w:t>
      </w:r>
      <w:r>
        <w:rPr>
          <w:rStyle w:val="inline-comment-marker"/>
          <w:i/>
          <w:iCs/>
        </w:rPr>
        <w:t>a</w:t>
      </w:r>
      <w:r>
        <w:rPr>
          <w:rStyle w:val="Zvraznenie"/>
        </w:rPr>
        <w:t xml:space="preserve"> -</w:t>
      </w:r>
      <w:r>
        <w:rPr>
          <w:rStyle w:val="Zvraznenie"/>
        </w:rPr>
        <w:t xml:space="preserve"> </w:t>
      </w:r>
      <w:r>
        <w:rPr>
          <w:rStyle w:val="inline-comment-marker"/>
          <w:i/>
          <w:iCs/>
        </w:rPr>
        <w:t>budúc</w:t>
      </w:r>
      <w:r>
        <w:rPr>
          <w:rStyle w:val="inline-comment-marker"/>
          <w:i/>
          <w:iCs/>
        </w:rPr>
        <w:t>i</w:t>
      </w:r>
      <w:r>
        <w:rPr>
          <w:rStyle w:val="Zvraznenie"/>
        </w:rPr>
        <w:t xml:space="preserve"> stav</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0"/>
      </w:tblGrid>
      <w:tr w:rsidR="00000000">
        <w:trPr>
          <w:divId w:val="402534904"/>
          <w:cantSplit/>
          <w:tblCellSpacing w:w="15" w:type="dxa"/>
        </w:trPr>
        <w:tc>
          <w:tcPr>
            <w:tcW w:w="0" w:type="auto"/>
            <w:vAlign w:val="center"/>
            <w:hideMark/>
          </w:tcPr>
          <w:p w:rsidR="00000000" w:rsidRDefault="00501E77">
            <w:pPr>
              <w:pStyle w:val="Normlnywebov"/>
            </w:pPr>
            <w:r>
              <w:rPr>
                <w:rStyle w:val="Siln"/>
              </w:rPr>
              <w:t>Súhrnný popis</w:t>
            </w:r>
          </w:p>
        </w:tc>
      </w:tr>
      <w:tr w:rsidR="00000000">
        <w:trPr>
          <w:divId w:val="402534904"/>
          <w:cantSplit/>
          <w:tblCellSpacing w:w="15" w:type="dxa"/>
        </w:trPr>
        <w:tc>
          <w:tcPr>
            <w:tcW w:w="0" w:type="auto"/>
            <w:vAlign w:val="center"/>
            <w:hideMark/>
          </w:tcPr>
          <w:p w:rsidR="00000000" w:rsidRDefault="00501E77">
            <w:pPr>
              <w:pStyle w:val="Normlnywebov"/>
            </w:pPr>
            <w:r>
              <w:rPr>
                <w:rStyle w:val="Zvraznenie"/>
              </w:rPr>
              <w:t>Úvodné informácie</w:t>
            </w:r>
            <w:r>
              <w:t xml:space="preserve"> </w:t>
            </w:r>
            <w:r>
              <w:br/>
            </w:r>
            <w:r>
              <w:rPr>
                <w:rStyle w:val="Zvraznenie"/>
              </w:rPr>
              <w:t>(Max. 1600 znakov, pre detailný popis je potrebné využiť prílohy)</w:t>
            </w:r>
          </w:p>
          <w:tbl>
            <w:tblPr>
              <w:tblW w:w="0" w:type="auto"/>
              <w:tblCellSpacing w:w="15" w:type="dxa"/>
              <w:tblCellMar>
                <w:left w:w="0" w:type="dxa"/>
                <w:right w:w="0" w:type="dxa"/>
              </w:tblCellMar>
              <w:tblLook w:val="04A0" w:firstRow="1" w:lastRow="0" w:firstColumn="1" w:lastColumn="0" w:noHBand="0" w:noVBand="1"/>
            </w:tblPr>
            <w:tblGrid>
              <w:gridCol w:w="957"/>
            </w:tblGrid>
            <w:tr w:rsidR="00000000">
              <w:trPr>
                <w:divId w:val="796341540"/>
                <w:cantSplit/>
                <w:tblCellSpacing w:w="15" w:type="dxa"/>
              </w:trPr>
              <w:tc>
                <w:tcPr>
                  <w:tcW w:w="4989" w:type="pct"/>
                  <w:vAlign w:val="center"/>
                  <w:hideMark/>
                </w:tcPr>
                <w:p w:rsidR="00000000" w:rsidRDefault="00501E77">
                  <w:pPr>
                    <w:pStyle w:val="Normlnywebov"/>
                  </w:pPr>
                  <w:r>
                    <w:t>Ekonomická analýza porovnáva v zmysle metodického pokynu tri varianty:</w:t>
                  </w:r>
                </w:p>
                <w:p w:rsidR="00000000" w:rsidRDefault="00501E77">
                  <w:pPr>
                    <w:rPr>
                      <w:rFonts w:eastAsia="Times New Roman"/>
                    </w:rPr>
                  </w:pPr>
                </w:p>
                <w:p w:rsidR="00000000" w:rsidRDefault="00501E77">
                  <w:pPr>
                    <w:numPr>
                      <w:ilvl w:val="1"/>
                      <w:numId w:val="36"/>
                    </w:numPr>
                    <w:spacing w:before="100" w:beforeAutospacing="1" w:after="100" w:afterAutospacing="1"/>
                    <w:rPr>
                      <w:rFonts w:eastAsia="Times New Roman"/>
                    </w:rPr>
                  </w:pPr>
                  <w:r>
                    <w:rPr>
                      <w:rFonts w:eastAsia="Times New Roman"/>
                    </w:rPr>
                    <w:t>Súčasný stav (neexistencia certifikácií)</w:t>
                  </w:r>
                </w:p>
                <w:p w:rsidR="00000000" w:rsidRDefault="00501E77">
                  <w:pPr>
                    <w:numPr>
                      <w:ilvl w:val="1"/>
                      <w:numId w:val="36"/>
                    </w:numPr>
                    <w:spacing w:before="100" w:beforeAutospacing="1" w:after="100" w:afterAutospacing="1"/>
                    <w:rPr>
                      <w:rFonts w:eastAsia="Times New Roman"/>
                    </w:rPr>
                  </w:pPr>
                  <w:r>
                    <w:rPr>
                      <w:rFonts w:eastAsia="Times New Roman"/>
                    </w:rPr>
                    <w:t>Odporučený variant E - Systém centrálnej certifikácie úrovní digitálnych kompetencií</w:t>
                  </w:r>
                </w:p>
                <w:p w:rsidR="00000000" w:rsidRDefault="00501E77">
                  <w:pPr>
                    <w:numPr>
                      <w:ilvl w:val="1"/>
                      <w:numId w:val="36"/>
                    </w:numPr>
                    <w:spacing w:before="100" w:beforeAutospacing="1" w:after="100" w:afterAutospacing="1"/>
                    <w:rPr>
                      <w:rFonts w:eastAsia="Times New Roman"/>
                    </w:rPr>
                  </w:pPr>
                  <w:r>
                    <w:rPr>
                      <w:rFonts w:eastAsia="Times New Roman"/>
                    </w:rPr>
                    <w:t>Minimalistický variant F</w:t>
                  </w:r>
                </w:p>
                <w:p w:rsidR="00000000" w:rsidRDefault="00501E77">
                  <w:pPr>
                    <w:rPr>
                      <w:rFonts w:eastAsia="Times New Roman"/>
                    </w:rPr>
                  </w:pPr>
                </w:p>
                <w:p w:rsidR="00000000" w:rsidRDefault="00501E77">
                  <w:pPr>
                    <w:pStyle w:val="Normlnywebov"/>
                  </w:pPr>
                  <w:r>
                    <w:t>Z dôvodu neexistencie centrálneho certifikovania v jednotlivých obrázkoch budúceho stavu tento variant nie je zakreslený (zakresliteľný). Busine</w:t>
                  </w:r>
                  <w:r>
                    <w:t>ss a IS bloky minimalistického variantu sú označené zelenou farbou. Projektové riadenie a marketing predpokladáme v plnej sume 7%.</w:t>
                  </w:r>
                </w:p>
                <w:p w:rsidR="00000000" w:rsidRDefault="00501E77">
                  <w:pPr>
                    <w:pStyle w:val="Normlnywebov"/>
                  </w:pPr>
                  <w:r>
                    <w:t xml:space="preserve">Náklady na zabezpečenie podpory dodaného SW predpokladáme pre potreby tejto štúdie 10% pre moduly s dostupnosťou 12x7/2h, 5% </w:t>
                  </w:r>
                  <w:r>
                    <w:t>pre moduly s dostupnosťou 24x7/NBD. Konkrétna výška bude závislá najmä od diela, vyšpecifikovaného v detailnej funkčnej špecifikácii a obstaraného kontraktu.</w:t>
                  </w:r>
                </w:p>
                <w:p w:rsidR="00000000" w:rsidRDefault="00501E77">
                  <w:pPr>
                    <w:pStyle w:val="Normlnywebov"/>
                  </w:pPr>
                  <w:r>
                    <w:t xml:space="preserve">Pri navrhovaní riešenia boli vylúčené formy využitia existujúcich nástrojov na testovanie nakoľko </w:t>
                  </w:r>
                  <w:r>
                    <w:t>projekt počíta s odklonom od lineárneho testovania a prechádza k adaptabilným (rozlišovacím), ktoré umožnia stanoviť reálnu kognitívnu úroveň 5 dispozícií (kompetencií) na škále A1 až B2. Lineárny test vie overiť či to, čo sme sa mali naučiť vieme alebo ni</w:t>
                  </w:r>
                  <w:r>
                    <w:t>e v zmysle vedomostí a do určitej miery vie overiť aj určitý súbor izolovaných zručností, napr. autoškola, je zrejmé kto má prednosť, kedy zapnúť svetlá a pod. Či však testovaný vie šoférovať, v zmysle zručnosti sa dá len predpokladať, preto sa musí sklada</w:t>
                  </w:r>
                  <w:r>
                    <w:t>ť praktická skúška. Ak skúšku zloží, ešte to neznamená, že vie akú úroveň ovládania vozidla v rôznych kontextoch má. Rozlišovací test rozlišuje úroveň ovládania v našom prípade informatiky. Zatiaľ takýto test pre informatiku neexistuje, nakoľko úroveň ovlá</w:t>
                  </w:r>
                  <w:r>
                    <w:t>dania nie je rámcom definovaná, teda opísaná formou deskriptorov. Tento typ testu identifikuje na akej úrovni testovaný vie riešiť problémy v kontexte IKT za pomoci informatiky. Napríklad v jazykoch kde rámec existuje, dokáže tento typ testu v jednom testo</w:t>
                  </w:r>
                  <w:r>
                    <w:t xml:space="preserve">vaní identifikovať na akej úrovni testovaný ovláda čítanie, písanie, počúvanie, dialógy a samostatný ústny prejav v rôznych jazykoch na škále A1 (úplný začiatočník) až po úroveň C2 (rodný hovoriaci). Nie je dôležité či testovaný vie čo je minulý čas a ani </w:t>
                  </w:r>
                  <w:r>
                    <w:t>kedy ho má použiť, ale kontextuálne vie, ktorý čas kedy použiť.</w:t>
                  </w:r>
                </w:p>
                <w:p w:rsidR="00000000" w:rsidRDefault="00501E77">
                  <w:pPr>
                    <w:numPr>
                      <w:ilvl w:val="0"/>
                      <w:numId w:val="37"/>
                    </w:numPr>
                    <w:spacing w:before="100" w:beforeAutospacing="1" w:after="100" w:afterAutospacing="1"/>
                    <w:rPr>
                      <w:rFonts w:eastAsia="Times New Roman"/>
                    </w:rPr>
                  </w:pPr>
                  <w:r>
                    <w:rPr>
                      <w:rFonts w:eastAsia="Times New Roman"/>
                    </w:rPr>
                    <w:t> </w:t>
                  </w:r>
                  <w:r>
                    <w:rPr>
                      <w:rStyle w:val="Siln"/>
                      <w:rFonts w:eastAsia="Times New Roman"/>
                    </w:rPr>
                    <w:t>Vstupné parametre pre výpočet kvalitatívnych prínosov </w:t>
                  </w:r>
                </w:p>
                <w:p w:rsidR="00000000" w:rsidRDefault="00501E77">
                  <w:pPr>
                    <w:rPr>
                      <w:rFonts w:eastAsia="Times New Roman"/>
                    </w:rPr>
                  </w:pPr>
                </w:p>
                <w:p w:rsidR="00000000" w:rsidRDefault="00501E77">
                  <w:pPr>
                    <w:pStyle w:val="Normlnywebov"/>
                  </w:pPr>
                  <w:r>
                    <w:rPr>
                      <w:rStyle w:val="Siln"/>
                    </w:rPr>
                    <w:t>1.1.  Spoločenská hodnota 1 certifikátu</w:t>
                  </w:r>
                </w:p>
                <w:p w:rsidR="00000000" w:rsidRDefault="00501E77">
                  <w:pPr>
                    <w:pStyle w:val="Normlnywebov"/>
                  </w:pPr>
                  <w:r>
                    <w:t xml:space="preserve">Pri určovaní kvalitatívneho prínosu certifikátu sme vychádzali z cien certifikácií pre cudzie </w:t>
                  </w:r>
                  <w:r>
                    <w:t>jazyky a ECDL. ECDL sme zvolili napriek tomu, že tento typ certifikátu nepodchytáva komplexitu plánovaných certifikátov. V súčasnosti však neexistuje v oblasti informatiky nič, čo by sa viac približovalo plánovanej certifikácii.</w:t>
                  </w:r>
                </w:p>
                <w:p w:rsidR="00000000" w:rsidRDefault="00501E77">
                  <w:pPr>
                    <w:pStyle w:val="Normlnywebov"/>
                  </w:pPr>
                  <w:r>
                    <w:t> </w:t>
                  </w:r>
                </w:p>
                <w:tbl>
                  <w:tblPr>
                    <w:tblW w:w="0" w:type="auto"/>
                    <w:tblCellSpacing w:w="15" w:type="dxa"/>
                    <w:tblCellMar>
                      <w:left w:w="0" w:type="dxa"/>
                      <w:right w:w="0" w:type="dxa"/>
                    </w:tblCellMar>
                    <w:tblLook w:val="04A0" w:firstRow="1" w:lastRow="0" w:firstColumn="1" w:lastColumn="0" w:noHBand="0" w:noVBand="1"/>
                  </w:tblPr>
                  <w:tblGrid>
                    <w:gridCol w:w="2880"/>
                    <w:gridCol w:w="144"/>
                    <w:gridCol w:w="1230"/>
                    <w:gridCol w:w="144"/>
                  </w:tblGrid>
                  <w:tr w:rsidR="00000000">
                    <w:trPr>
                      <w:divId w:val="2007710771"/>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b/>
                            <w:bCs/>
                          </w:rPr>
                          <w:t>Typ certifikátu</w:t>
                        </w:r>
                      </w:p>
                    </w:tc>
                    <w:tc>
                      <w:tcPr>
                        <w:tcW w:w="0" w:type="auto"/>
                        <w:gridSpan w:val="3"/>
                        <w:tcMar>
                          <w:top w:w="15" w:type="dxa"/>
                          <w:left w:w="15" w:type="dxa"/>
                          <w:bottom w:w="15" w:type="dxa"/>
                          <w:right w:w="15" w:type="dxa"/>
                        </w:tcMar>
                        <w:vAlign w:val="center"/>
                        <w:hideMark/>
                      </w:tcPr>
                      <w:p w:rsidR="00000000" w:rsidRDefault="00501E77">
                        <w:pPr>
                          <w:pStyle w:val="Normlnywebov"/>
                          <w:jc w:val="center"/>
                          <w:rPr>
                            <w:b/>
                            <w:bCs/>
                          </w:rPr>
                        </w:pPr>
                        <w:r>
                          <w:rPr>
                            <w:b/>
                            <w:bCs/>
                          </w:rPr>
                          <w:t>Cena v EUR</w:t>
                        </w:r>
                      </w:p>
                    </w:tc>
                  </w:tr>
                  <w:tr w:rsidR="00000000">
                    <w:trPr>
                      <w:divId w:val="2007710771"/>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IELTS</w:t>
                        </w:r>
                      </w:p>
                    </w:tc>
                    <w:tc>
                      <w:tcPr>
                        <w:tcW w:w="0" w:type="auto"/>
                        <w:gridSpan w:val="3"/>
                        <w:tcMar>
                          <w:top w:w="15" w:type="dxa"/>
                          <w:left w:w="15" w:type="dxa"/>
                          <w:bottom w:w="15" w:type="dxa"/>
                          <w:right w:w="15" w:type="dxa"/>
                        </w:tcMar>
                        <w:vAlign w:val="center"/>
                        <w:hideMark/>
                      </w:tcPr>
                      <w:p w:rsidR="00000000" w:rsidRDefault="00501E77">
                        <w:pPr>
                          <w:pStyle w:val="Normlnywebov"/>
                          <w:jc w:val="center"/>
                        </w:pPr>
                        <w:r>
                          <w:t>204</w:t>
                        </w:r>
                      </w:p>
                    </w:tc>
                  </w:tr>
                  <w:tr w:rsidR="00000000">
                    <w:trPr>
                      <w:divId w:val="2007710771"/>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Cambridge English A1</w:t>
                        </w:r>
                      </w:p>
                    </w:tc>
                    <w:tc>
                      <w:tcPr>
                        <w:tcW w:w="0" w:type="auto"/>
                        <w:gridSpan w:val="3"/>
                        <w:tcMar>
                          <w:top w:w="15" w:type="dxa"/>
                          <w:left w:w="15" w:type="dxa"/>
                          <w:bottom w:w="15" w:type="dxa"/>
                          <w:right w:w="15" w:type="dxa"/>
                        </w:tcMar>
                        <w:vAlign w:val="center"/>
                        <w:hideMark/>
                      </w:tcPr>
                      <w:p w:rsidR="00000000" w:rsidRDefault="00501E77">
                        <w:pPr>
                          <w:pStyle w:val="Normlnywebov"/>
                          <w:jc w:val="center"/>
                        </w:pPr>
                        <w:r>
                          <w:t>63</w:t>
                        </w:r>
                      </w:p>
                    </w:tc>
                  </w:tr>
                  <w:tr w:rsidR="00000000">
                    <w:trPr>
                      <w:divId w:val="2007710771"/>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Cambridge English A2</w:t>
                        </w:r>
                      </w:p>
                    </w:tc>
                    <w:tc>
                      <w:tcPr>
                        <w:tcW w:w="0" w:type="auto"/>
                        <w:gridSpan w:val="3"/>
                        <w:tcMar>
                          <w:top w:w="15" w:type="dxa"/>
                          <w:left w:w="15" w:type="dxa"/>
                          <w:bottom w:w="15" w:type="dxa"/>
                          <w:right w:w="15" w:type="dxa"/>
                        </w:tcMar>
                        <w:vAlign w:val="center"/>
                        <w:hideMark/>
                      </w:tcPr>
                      <w:p w:rsidR="00000000" w:rsidRDefault="00501E77">
                        <w:pPr>
                          <w:pStyle w:val="Normlnywebov"/>
                          <w:jc w:val="center"/>
                        </w:pPr>
                        <w:r>
                          <w:t>95</w:t>
                        </w:r>
                      </w:p>
                    </w:tc>
                  </w:tr>
                  <w:tr w:rsidR="00000000">
                    <w:trPr>
                      <w:divId w:val="2007710771"/>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Cambridge English B1 a B2</w:t>
                        </w:r>
                      </w:p>
                    </w:tc>
                    <w:tc>
                      <w:tcPr>
                        <w:tcW w:w="0" w:type="auto"/>
                        <w:gridSpan w:val="3"/>
                        <w:tcMar>
                          <w:top w:w="15" w:type="dxa"/>
                          <w:left w:w="15" w:type="dxa"/>
                          <w:bottom w:w="15" w:type="dxa"/>
                          <w:right w:w="15" w:type="dxa"/>
                        </w:tcMar>
                        <w:vAlign w:val="center"/>
                        <w:hideMark/>
                      </w:tcPr>
                      <w:p w:rsidR="00000000" w:rsidRDefault="00501E77">
                        <w:pPr>
                          <w:pStyle w:val="Normlnywebov"/>
                          <w:jc w:val="center"/>
                        </w:pPr>
                        <w:r>
                          <w:t>195</w:t>
                        </w:r>
                      </w:p>
                    </w:tc>
                  </w:tr>
                  <w:tr w:rsidR="00000000">
                    <w:trPr>
                      <w:divId w:val="2007710771"/>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ECDL Start</w:t>
                        </w:r>
                      </w:p>
                    </w:tc>
                    <w:tc>
                      <w:tcPr>
                        <w:tcW w:w="0" w:type="auto"/>
                        <w:gridSpan w:val="3"/>
                        <w:tcMar>
                          <w:top w:w="15" w:type="dxa"/>
                          <w:left w:w="15" w:type="dxa"/>
                          <w:bottom w:w="15" w:type="dxa"/>
                          <w:right w:w="15" w:type="dxa"/>
                        </w:tcMar>
                        <w:vAlign w:val="center"/>
                        <w:hideMark/>
                      </w:tcPr>
                      <w:p w:rsidR="00000000" w:rsidRDefault="00501E77">
                        <w:pPr>
                          <w:pStyle w:val="Normlnywebov"/>
                          <w:jc w:val="center"/>
                        </w:pPr>
                        <w:r>
                          <w:t>108</w:t>
                        </w:r>
                      </w:p>
                    </w:tc>
                  </w:tr>
                  <w:tr w:rsidR="00000000">
                    <w:trPr>
                      <w:divId w:val="2007710771"/>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ECDL Pack</w:t>
                        </w:r>
                      </w:p>
                    </w:tc>
                    <w:tc>
                      <w:tcPr>
                        <w:tcW w:w="0" w:type="auto"/>
                        <w:gridSpan w:val="3"/>
                        <w:tcMar>
                          <w:top w:w="15" w:type="dxa"/>
                          <w:left w:w="15" w:type="dxa"/>
                          <w:bottom w:w="15" w:type="dxa"/>
                          <w:right w:w="15" w:type="dxa"/>
                        </w:tcMar>
                        <w:vAlign w:val="center"/>
                        <w:hideMark/>
                      </w:tcPr>
                      <w:p w:rsidR="00000000" w:rsidRDefault="00501E77">
                        <w:pPr>
                          <w:pStyle w:val="Normlnywebov"/>
                          <w:jc w:val="center"/>
                        </w:pPr>
                        <w:r>
                          <w:t>156</w:t>
                        </w:r>
                      </w:p>
                    </w:tc>
                  </w:tr>
                  <w:tr w:rsidR="00000000">
                    <w:trPr>
                      <w:divId w:val="2007710771"/>
                      <w:cantSplit/>
                      <w:tblCellSpacing w:w="15" w:type="dxa"/>
                    </w:trPr>
                    <w:tc>
                      <w:tcPr>
                        <w:tcW w:w="0" w:type="auto"/>
                        <w:gridSpan w:val="2"/>
                        <w:tcMar>
                          <w:top w:w="15" w:type="dxa"/>
                          <w:left w:w="15" w:type="dxa"/>
                          <w:bottom w:w="15" w:type="dxa"/>
                          <w:right w:w="15" w:type="dxa"/>
                        </w:tcMar>
                        <w:vAlign w:val="center"/>
                        <w:hideMark/>
                      </w:tcPr>
                      <w:p w:rsidR="00000000" w:rsidRDefault="00501E77">
                        <w:pPr>
                          <w:pStyle w:val="Normlnywebov"/>
                        </w:pPr>
                        <w:r>
                          <w:t>Referenčná hodnota do CBA</w:t>
                        </w:r>
                      </w:p>
                    </w:tc>
                    <w:tc>
                      <w:tcPr>
                        <w:tcW w:w="0" w:type="auto"/>
                        <w:tcMar>
                          <w:top w:w="15" w:type="dxa"/>
                          <w:left w:w="15" w:type="dxa"/>
                          <w:bottom w:w="15" w:type="dxa"/>
                          <w:right w:w="15" w:type="dxa"/>
                        </w:tcMar>
                        <w:vAlign w:val="center"/>
                        <w:hideMark/>
                      </w:tcPr>
                      <w:p w:rsidR="00000000" w:rsidRDefault="00501E77">
                        <w:pPr>
                          <w:pStyle w:val="Normlnywebov"/>
                          <w:jc w:val="center"/>
                        </w:pPr>
                        <w:r>
                          <w:t>135 EUR</w:t>
                        </w:r>
                      </w:p>
                    </w:tc>
                    <w:tc>
                      <w:tcPr>
                        <w:tcW w:w="0" w:type="auto"/>
                        <w:vAlign w:val="center"/>
                        <w:hideMark/>
                      </w:tcPr>
                      <w:p w:rsidR="00000000" w:rsidRDefault="00501E77">
                        <w:pPr>
                          <w:rPr>
                            <w:rFonts w:eastAsia="Times New Roman"/>
                            <w:sz w:val="20"/>
                            <w:szCs w:val="20"/>
                          </w:rPr>
                        </w:pPr>
                      </w:p>
                    </w:tc>
                  </w:tr>
                  <w:tr w:rsidR="00000000">
                    <w:trPr>
                      <w:divId w:val="2007710771"/>
                      <w:cantSplit/>
                      <w:tblCellSpacing w:w="15" w:type="dxa"/>
                    </w:trPr>
                    <w:tc>
                      <w:tcPr>
                        <w:tcW w:w="2880" w:type="dxa"/>
                        <w:tcBorders>
                          <w:top w:val="nil"/>
                          <w:left w:val="nil"/>
                          <w:bottom w:val="nil"/>
                          <w:right w:val="nil"/>
                        </w:tcBorders>
                        <w:vAlign w:val="center"/>
                        <w:hideMark/>
                      </w:tcPr>
                      <w:p w:rsidR="00000000" w:rsidRDefault="00501E77">
                        <w:pPr>
                          <w:rPr>
                            <w:rFonts w:eastAsia="Times New Roman"/>
                          </w:rPr>
                        </w:pPr>
                        <w:r>
                          <w:rPr>
                            <w:rFonts w:eastAsia="Times New Roman"/>
                          </w:rPr>
                          <w:t> </w:t>
                        </w:r>
                      </w:p>
                    </w:tc>
                    <w:tc>
                      <w:tcPr>
                        <w:tcW w:w="30" w:type="dxa"/>
                        <w:tcBorders>
                          <w:top w:val="nil"/>
                          <w:left w:val="nil"/>
                          <w:bottom w:val="nil"/>
                          <w:right w:val="nil"/>
                        </w:tcBorders>
                        <w:vAlign w:val="center"/>
                        <w:hideMark/>
                      </w:tcPr>
                      <w:p w:rsidR="00000000" w:rsidRDefault="00501E77">
                        <w:pPr>
                          <w:rPr>
                            <w:rFonts w:eastAsia="Times New Roman"/>
                          </w:rPr>
                        </w:pPr>
                        <w:r>
                          <w:rPr>
                            <w:rFonts w:eastAsia="Times New Roman"/>
                          </w:rPr>
                          <w:t> </w:t>
                        </w:r>
                      </w:p>
                    </w:tc>
                    <w:tc>
                      <w:tcPr>
                        <w:tcW w:w="1230" w:type="dxa"/>
                        <w:tcBorders>
                          <w:top w:val="nil"/>
                          <w:left w:val="nil"/>
                          <w:bottom w:val="nil"/>
                          <w:right w:val="nil"/>
                        </w:tcBorders>
                        <w:vAlign w:val="center"/>
                        <w:hideMark/>
                      </w:tcPr>
                      <w:p w:rsidR="00000000" w:rsidRDefault="00501E77">
                        <w:pPr>
                          <w:rPr>
                            <w:rFonts w:eastAsia="Times New Roman"/>
                          </w:rPr>
                        </w:pPr>
                        <w:r>
                          <w:rPr>
                            <w:rFonts w:eastAsia="Times New Roman"/>
                          </w:rPr>
                          <w:t> </w:t>
                        </w:r>
                      </w:p>
                    </w:tc>
                    <w:tc>
                      <w:tcPr>
                        <w:tcW w:w="45" w:type="dxa"/>
                        <w:tcBorders>
                          <w:top w:val="nil"/>
                          <w:left w:val="nil"/>
                          <w:bottom w:val="nil"/>
                          <w:right w:val="nil"/>
                        </w:tcBorders>
                        <w:vAlign w:val="center"/>
                        <w:hideMark/>
                      </w:tcPr>
                      <w:p w:rsidR="00000000" w:rsidRDefault="00501E77">
                        <w:pPr>
                          <w:rPr>
                            <w:rFonts w:eastAsia="Times New Roman"/>
                          </w:rPr>
                        </w:pPr>
                        <w:r>
                          <w:rPr>
                            <w:rFonts w:eastAsia="Times New Roman"/>
                          </w:rPr>
                          <w:t> </w:t>
                        </w:r>
                      </w:p>
                    </w:tc>
                  </w:tr>
                </w:tbl>
                <w:p w:rsidR="00000000" w:rsidRDefault="00501E77">
                  <w:pPr>
                    <w:pStyle w:val="Normlnywebov"/>
                  </w:pPr>
                  <w:r>
                    <w:t>Certifikát má však aj ďalšie kvalitatívne prínosy:</w:t>
                  </w:r>
                </w:p>
                <w:p w:rsidR="00000000" w:rsidRDefault="00501E77">
                  <w:pPr>
                    <w:numPr>
                      <w:ilvl w:val="0"/>
                      <w:numId w:val="38"/>
                    </w:numPr>
                    <w:spacing w:before="100" w:beforeAutospacing="1" w:after="100" w:afterAutospacing="1"/>
                    <w:rPr>
                      <w:rFonts w:eastAsia="Times New Roman"/>
                    </w:rPr>
                  </w:pPr>
                  <w:r>
                    <w:rPr>
                      <w:rFonts w:eastAsia="Times New Roman"/>
                    </w:rPr>
                    <w:t>Predĺženie produktívneho zapájania sa do trhu práce a využívania eGovernment služieb zo strany cieľovej skupiny.</w:t>
                  </w:r>
                </w:p>
                <w:p w:rsidR="00000000" w:rsidRDefault="00501E77">
                  <w:pPr>
                    <w:numPr>
                      <w:ilvl w:val="0"/>
                      <w:numId w:val="39"/>
                    </w:numPr>
                    <w:spacing w:before="100" w:beforeAutospacing="1" w:after="100" w:afterAutospacing="1"/>
                    <w:rPr>
                      <w:rFonts w:eastAsia="Times New Roman"/>
                    </w:rPr>
                  </w:pPr>
                  <w:r>
                    <w:rPr>
                      <w:rFonts w:eastAsia="Times New Roman"/>
                    </w:rPr>
                    <w:t>Validný nástroj štátu na meranie úrovní digitálnych kompetencií občanov.</w:t>
                  </w:r>
                </w:p>
                <w:p w:rsidR="00000000" w:rsidRDefault="00501E77">
                  <w:pPr>
                    <w:numPr>
                      <w:ilvl w:val="0"/>
                      <w:numId w:val="40"/>
                    </w:numPr>
                    <w:spacing w:before="100" w:beforeAutospacing="1" w:after="100" w:afterAutospacing="1"/>
                    <w:rPr>
                      <w:rFonts w:eastAsia="Times New Roman"/>
                    </w:rPr>
                  </w:pPr>
                  <w:r>
                    <w:rPr>
                      <w:rFonts w:eastAsia="Times New Roman"/>
                    </w:rPr>
                    <w:t>Nástroj definovania požiadaviek pre uchádzačov o zamestnanie alebo za účelom zvyšovania kvalifikácie u zamestnancov.</w:t>
                  </w:r>
                </w:p>
                <w:p w:rsidR="00000000" w:rsidRDefault="00501E77">
                  <w:pPr>
                    <w:numPr>
                      <w:ilvl w:val="0"/>
                      <w:numId w:val="41"/>
                    </w:numPr>
                    <w:spacing w:before="100" w:beforeAutospacing="1" w:after="100" w:afterAutospacing="1"/>
                    <w:rPr>
                      <w:rFonts w:eastAsia="Times New Roman"/>
                    </w:rPr>
                  </w:pPr>
                  <w:r>
                    <w:rPr>
                      <w:rFonts w:eastAsia="Times New Roman"/>
                    </w:rPr>
                    <w:t>Zvýšenie ekonomickej aktivity v sektore vzdelávacích inštitúcií v oblasti prípravy na certifikáciu.</w:t>
                  </w:r>
                </w:p>
                <w:p w:rsidR="00000000" w:rsidRDefault="00501E77">
                  <w:pPr>
                    <w:pStyle w:val="Normlnywebov"/>
                  </w:pPr>
                  <w:r>
                    <w:t>Keďže však tieto prínosy nie je možné j</w:t>
                  </w:r>
                  <w:r>
                    <w:t>ednoznačne naceniť, napriek ich vysokej hodnote sme ich pri výpočte nebrali do úvahy.</w:t>
                  </w:r>
                </w:p>
                <w:p w:rsidR="00000000" w:rsidRDefault="00501E77">
                  <w:pPr>
                    <w:pStyle w:val="Normlnywebov"/>
                  </w:pPr>
                  <w:r>
                    <w:t xml:space="preserve">Spoločenské prínosy tohto riešenia sú významné aj z ďalšieho aspektu ekonomickej hodnoty certifikátu pre zamestnávateľov. Štúdia výskumnej a konzultačnej spoločnosti IDC </w:t>
                  </w:r>
                  <w:r>
                    <w:t>z roku 2015 ukazuje, značnú potenciálnu ekonomickú hodnotu takéhoto certifikátu pre súkromné spoločnosti. Podľa vykonaného prieskumu noví zamestnanci s certifikátom dosahujú produktivitu rýchlejšie ako zamestnanci bez certifikátu.</w:t>
                  </w:r>
                </w:p>
                <w:p w:rsidR="00000000" w:rsidRDefault="00501E77">
                  <w:pPr>
                    <w:pStyle w:val="Normlnywebov"/>
                  </w:pPr>
                  <w:r>
                    <w:t>V prieskume IT Skills and</w:t>
                  </w:r>
                  <w:r>
                    <w:t xml:space="preserve"> Salary report – A Comprehensive Study from Global Knowledge 28% respondentov deklaruje, že ročný prínos zamestnanca s certifikátom je o 20 000 USD väčší oproti zamestnancovi bez certifikátu, 30% uviedlo, že prínos je medzi 10 000 USD až 19 999 USD a 42% r</w:t>
                  </w:r>
                  <w:r>
                    <w:t>espondentov uviedlo, že prínos je 9 999 USD a menej. Samozrejme tieto čísla nie je možné aplikovať ako vstup do CBA keďže samotný prieskum bol realizovaný medzi IT profesionálmi, poukazuje to však na vnímanie prínosu certifikovaných zamestnancov a uchádzač</w:t>
                  </w:r>
                  <w:r>
                    <w:t>ov o prácu zo strany zamestnávateľov.</w:t>
                  </w:r>
                </w:p>
                <w:p w:rsidR="00000000" w:rsidRDefault="00501E77">
                  <w:pPr>
                    <w:pStyle w:val="Normlnywebov"/>
                  </w:pPr>
                  <w:r>
                    <w:rPr>
                      <w:rStyle w:val="Siln"/>
                    </w:rPr>
                    <w:t>1.2.  Spoločenská hodnota 1 self-testu </w:t>
                  </w:r>
                </w:p>
                <w:p w:rsidR="00000000" w:rsidRDefault="00501E77">
                  <w:pPr>
                    <w:pStyle w:val="Normlnywebov"/>
                  </w:pPr>
                  <w:r>
                    <w:t>Pri určovaní kvalitatívneho prínosu vstupného testu sme vychádzali z cien viacerých self testov pre oblasť IT – cena 66,5 Eur (zdroj Gopas, a.s.), z cien hodnotiaceho (nevalidnéh</w:t>
                  </w:r>
                  <w:r>
                    <w:t>o) testu pre anglický jazyk TOEFL – cena 50 Eur (zdroj International House, s.r.o. a ceny za jeden certifikát ECDL – cena 33 Eur (zdroj Žilinská Univerzita v Žiline). </w:t>
                  </w:r>
                </w:p>
                <w:p w:rsidR="00000000" w:rsidRDefault="00501E77">
                  <w:pPr>
                    <w:pStyle w:val="Normlnywebov"/>
                  </w:pPr>
                  <w:r>
                    <w:t> </w:t>
                  </w:r>
                </w:p>
                <w:tbl>
                  <w:tblPr>
                    <w:tblW w:w="0" w:type="auto"/>
                    <w:tblCellSpacing w:w="15" w:type="dxa"/>
                    <w:tblCellMar>
                      <w:left w:w="0" w:type="dxa"/>
                      <w:right w:w="0" w:type="dxa"/>
                    </w:tblCellMar>
                    <w:tblLook w:val="04A0" w:firstRow="1" w:lastRow="0" w:firstColumn="1" w:lastColumn="0" w:noHBand="0" w:noVBand="1"/>
                  </w:tblPr>
                  <w:tblGrid>
                    <w:gridCol w:w="480"/>
                    <w:gridCol w:w="480"/>
                  </w:tblGrid>
                  <w:tr w:rsidR="00000000">
                    <w:trPr>
                      <w:divId w:val="608926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b/>
                            <w:bCs/>
                          </w:rPr>
                          <w:t>Typ testu</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b/>
                            <w:bCs/>
                          </w:rPr>
                          <w:t>Cena v EUR</w:t>
                        </w:r>
                      </w:p>
                    </w:tc>
                  </w:tr>
                  <w:tr w:rsidR="00000000">
                    <w:trPr>
                      <w:divId w:val="608926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Self-test (GOPAS a.s.)</w:t>
                        </w:r>
                      </w:p>
                    </w:tc>
                    <w:tc>
                      <w:tcPr>
                        <w:tcW w:w="0" w:type="auto"/>
                        <w:tcMar>
                          <w:top w:w="15" w:type="dxa"/>
                          <w:left w:w="15" w:type="dxa"/>
                          <w:bottom w:w="15" w:type="dxa"/>
                          <w:right w:w="15" w:type="dxa"/>
                        </w:tcMar>
                        <w:vAlign w:val="center"/>
                        <w:hideMark/>
                      </w:tcPr>
                      <w:p w:rsidR="00000000" w:rsidRDefault="00501E77">
                        <w:pPr>
                          <w:pStyle w:val="Normlnywebov"/>
                          <w:jc w:val="center"/>
                        </w:pPr>
                        <w:r>
                          <w:t>66,5</w:t>
                        </w:r>
                      </w:p>
                    </w:tc>
                  </w:tr>
                  <w:tr w:rsidR="00000000">
                    <w:trPr>
                      <w:divId w:val="608926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 xml:space="preserve">Hodnotiaci (nevalidného) testu pre </w:t>
                        </w:r>
                        <w:r>
                          <w:t>anglický jazyk TOEFL</w:t>
                        </w:r>
                      </w:p>
                    </w:tc>
                    <w:tc>
                      <w:tcPr>
                        <w:tcW w:w="0" w:type="auto"/>
                        <w:tcMar>
                          <w:top w:w="15" w:type="dxa"/>
                          <w:left w:w="15" w:type="dxa"/>
                          <w:bottom w:w="15" w:type="dxa"/>
                          <w:right w:w="15" w:type="dxa"/>
                        </w:tcMar>
                        <w:vAlign w:val="center"/>
                        <w:hideMark/>
                      </w:tcPr>
                      <w:p w:rsidR="00000000" w:rsidRDefault="00501E77">
                        <w:pPr>
                          <w:pStyle w:val="Normlnywebov"/>
                          <w:jc w:val="center"/>
                        </w:pPr>
                        <w:r>
                          <w:t>50</w:t>
                        </w:r>
                      </w:p>
                    </w:tc>
                  </w:tr>
                  <w:tr w:rsidR="00000000">
                    <w:trPr>
                      <w:divId w:val="608926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Cena za jeden certifikát ECDL</w:t>
                        </w:r>
                      </w:p>
                    </w:tc>
                    <w:tc>
                      <w:tcPr>
                        <w:tcW w:w="0" w:type="auto"/>
                        <w:tcMar>
                          <w:top w:w="15" w:type="dxa"/>
                          <w:left w:w="15" w:type="dxa"/>
                          <w:bottom w:w="15" w:type="dxa"/>
                          <w:right w:w="15" w:type="dxa"/>
                        </w:tcMar>
                        <w:vAlign w:val="center"/>
                        <w:hideMark/>
                      </w:tcPr>
                      <w:p w:rsidR="00000000" w:rsidRDefault="00501E77">
                        <w:pPr>
                          <w:pStyle w:val="Normlnywebov"/>
                          <w:jc w:val="center"/>
                        </w:pPr>
                        <w:r>
                          <w:t>33</w:t>
                        </w:r>
                      </w:p>
                    </w:tc>
                  </w:tr>
                </w:tbl>
                <w:p w:rsidR="00000000" w:rsidRDefault="00501E77">
                  <w:pPr>
                    <w:pStyle w:val="Normlnywebov"/>
                  </w:pPr>
                  <w:r>
                    <w:t> </w:t>
                  </w:r>
                </w:p>
                <w:p w:rsidR="00000000" w:rsidRDefault="00501E77">
                  <w:pPr>
                    <w:pStyle w:val="Normlnywebov"/>
                  </w:pPr>
                  <w:r>
                    <w:t>Príklady cien self-testov v zahraničí</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480"/>
                  </w:tblGrid>
                  <w:tr w:rsidR="00000000">
                    <w:trPr>
                      <w:divId w:val="2117754443"/>
                      <w:tblCellSpacing w:w="15" w:type="dxa"/>
                    </w:trPr>
                    <w:tc>
                      <w:tcPr>
                        <w:tcW w:w="0" w:type="auto"/>
                        <w:vAlign w:val="center"/>
                        <w:hideMark/>
                      </w:tcPr>
                      <w:p w:rsidR="00000000" w:rsidRDefault="00501E77">
                        <w:pPr>
                          <w:pStyle w:val="Normlnywebov"/>
                          <w:jc w:val="center"/>
                          <w:rPr>
                            <w:b/>
                            <w:bCs/>
                          </w:rPr>
                        </w:pPr>
                        <w:r>
                          <w:rPr>
                            <w:b/>
                            <w:bCs/>
                          </w:rPr>
                          <w:t>Typ testu</w:t>
                        </w:r>
                      </w:p>
                    </w:tc>
                    <w:tc>
                      <w:tcPr>
                        <w:tcW w:w="0" w:type="auto"/>
                        <w:vAlign w:val="center"/>
                        <w:hideMark/>
                      </w:tcPr>
                      <w:p w:rsidR="00000000" w:rsidRDefault="00501E77">
                        <w:pPr>
                          <w:pStyle w:val="Normlnywebov"/>
                          <w:jc w:val="center"/>
                          <w:rPr>
                            <w:b/>
                            <w:bCs/>
                          </w:rPr>
                        </w:pPr>
                        <w:r>
                          <w:rPr>
                            <w:b/>
                            <w:bCs/>
                          </w:rPr>
                          <w:t>Cena v EUR</w:t>
                        </w:r>
                      </w:p>
                    </w:tc>
                  </w:tr>
                  <w:tr w:rsidR="00000000">
                    <w:trPr>
                      <w:divId w:val="2117754443"/>
                      <w:cantSplit/>
                      <w:tblCellSpacing w:w="15" w:type="dxa"/>
                    </w:trPr>
                    <w:tc>
                      <w:tcPr>
                        <w:tcW w:w="0" w:type="auto"/>
                        <w:vAlign w:val="center"/>
                        <w:hideMark/>
                      </w:tcPr>
                      <w:p w:rsidR="00000000" w:rsidRDefault="00501E77">
                        <w:pPr>
                          <w:pStyle w:val="Normlnywebov"/>
                        </w:pPr>
                        <w:r>
                          <w:t xml:space="preserve">MeasureUp – MS Office Practice Test Bundle </w:t>
                        </w:r>
                        <w:r>
                          <w:rPr>
                            <w:vertAlign w:val="superscript"/>
                          </w:rPr>
                          <w:t>(</w:t>
                        </w:r>
                        <w:hyperlink r:id="rId51" w:history="1">
                          <w:r>
                            <w:rPr>
                              <w:rStyle w:val="Hypertextovprepojenie"/>
                              <w:vertAlign w:val="superscript"/>
                            </w:rPr>
                            <w:t>https://www.measureup.com/catalogsearch/result/?cat=&amp;q=MS+Office+Practice+Test+Bundle</w:t>
                          </w:r>
                        </w:hyperlink>
                        <w:r>
                          <w:rPr>
                            <w:vertAlign w:val="superscript"/>
                          </w:rPr>
                          <w:t>)</w:t>
                        </w:r>
                      </w:p>
                    </w:tc>
                    <w:tc>
                      <w:tcPr>
                        <w:tcW w:w="0" w:type="auto"/>
                        <w:vAlign w:val="center"/>
                        <w:hideMark/>
                      </w:tcPr>
                      <w:p w:rsidR="00000000" w:rsidRDefault="00501E77">
                        <w:pPr>
                          <w:pStyle w:val="Normlnywebov"/>
                          <w:jc w:val="center"/>
                        </w:pPr>
                        <w:r>
                          <w:t>137</w:t>
                        </w:r>
                      </w:p>
                    </w:tc>
                  </w:tr>
                  <w:tr w:rsidR="00000000">
                    <w:trPr>
                      <w:divId w:val="2117754443"/>
                      <w:cantSplit/>
                      <w:tblCellSpacing w:w="15" w:type="dxa"/>
                    </w:trPr>
                    <w:tc>
                      <w:tcPr>
                        <w:tcW w:w="0" w:type="auto"/>
                        <w:vAlign w:val="center"/>
                        <w:hideMark/>
                      </w:tcPr>
                      <w:p w:rsidR="00000000" w:rsidRDefault="00501E77">
                        <w:pPr>
                          <w:pStyle w:val="Normlnywebov"/>
                        </w:pPr>
                        <w:r>
                          <w:t xml:space="preserve">TEST4U 3 in 1 MS Word, Excel, Internet </w:t>
                        </w:r>
                        <w:r>
                          <w:rPr>
                            <w:vertAlign w:val="superscript"/>
                          </w:rPr>
                          <w:t>(</w:t>
                        </w:r>
                        <w:hyperlink r:id="rId52" w:history="1">
                          <w:r>
                            <w:rPr>
                              <w:rStyle w:val="Hypertextovprepojenie"/>
                              <w:vertAlign w:val="superscript"/>
                            </w:rPr>
                            <w:t>https://www.test4u.eu/en/e-tests/test-3-in-1-word-excel-internet-en</w:t>
                          </w:r>
                        </w:hyperlink>
                        <w:r>
                          <w:rPr>
                            <w:vertAlign w:val="superscript"/>
                          </w:rPr>
                          <w:t>)</w:t>
                        </w:r>
                      </w:p>
                    </w:tc>
                    <w:tc>
                      <w:tcPr>
                        <w:tcW w:w="0" w:type="auto"/>
                        <w:vAlign w:val="center"/>
                        <w:hideMark/>
                      </w:tcPr>
                      <w:p w:rsidR="00000000" w:rsidRDefault="00501E77">
                        <w:pPr>
                          <w:pStyle w:val="Normlnywebov"/>
                          <w:jc w:val="center"/>
                        </w:pPr>
                        <w:r>
                          <w:t>119,97</w:t>
                        </w:r>
                      </w:p>
                    </w:tc>
                  </w:tr>
                  <w:tr w:rsidR="00000000">
                    <w:trPr>
                      <w:divId w:val="2117754443"/>
                      <w:cantSplit/>
                      <w:tblCellSpacing w:w="15" w:type="dxa"/>
                    </w:trPr>
                    <w:tc>
                      <w:tcPr>
                        <w:tcW w:w="0" w:type="auto"/>
                        <w:vAlign w:val="center"/>
                        <w:hideMark/>
                      </w:tcPr>
                      <w:p w:rsidR="00000000" w:rsidRDefault="00501E77">
                        <w:pPr>
                          <w:pStyle w:val="Normlnywebov"/>
                        </w:pPr>
                        <w:r>
                          <w:t xml:space="preserve">Gmetrix - MOS 2016 Practice Tests - Full Suite </w:t>
                        </w:r>
                        <w:r>
                          <w:rPr>
                            <w:vertAlign w:val="superscript"/>
                          </w:rPr>
                          <w:t>(</w:t>
                        </w:r>
                        <w:hyperlink r:id="rId53" w:history="1">
                          <w:r>
                            <w:rPr>
                              <w:rStyle w:val="Hypertextovprepojenie"/>
                              <w:vertAlign w:val="superscript"/>
                            </w:rPr>
                            <w:t>https://www.gmetrix.com/Products/ProductDescription/MOS-2016-Practice-Tests-Full-Suite</w:t>
                          </w:r>
                        </w:hyperlink>
                        <w:r>
                          <w:rPr>
                            <w:vertAlign w:val="superscript"/>
                          </w:rPr>
                          <w:t>)</w:t>
                        </w:r>
                      </w:p>
                    </w:tc>
                    <w:tc>
                      <w:tcPr>
                        <w:tcW w:w="0" w:type="auto"/>
                        <w:vAlign w:val="center"/>
                        <w:hideMark/>
                      </w:tcPr>
                      <w:p w:rsidR="00000000" w:rsidRDefault="00501E77">
                        <w:pPr>
                          <w:pStyle w:val="Normlnywebov"/>
                          <w:jc w:val="center"/>
                        </w:pPr>
                        <w:r>
                          <w:t>66</w:t>
                        </w:r>
                      </w:p>
                    </w:tc>
                  </w:tr>
                  <w:tr w:rsidR="00000000">
                    <w:trPr>
                      <w:divId w:val="2117754443"/>
                      <w:cantSplit/>
                      <w:tblCellSpacing w:w="15" w:type="dxa"/>
                    </w:trPr>
                    <w:tc>
                      <w:tcPr>
                        <w:tcW w:w="0" w:type="auto"/>
                        <w:vAlign w:val="center"/>
                        <w:hideMark/>
                      </w:tcPr>
                      <w:p w:rsidR="00000000" w:rsidRDefault="00501E77">
                        <w:pPr>
                          <w:pStyle w:val="Normlnywebov"/>
                        </w:pPr>
                        <w:r>
                          <w:t>Referenčná hodnota do CBA</w:t>
                        </w:r>
                      </w:p>
                    </w:tc>
                    <w:tc>
                      <w:tcPr>
                        <w:tcW w:w="0" w:type="auto"/>
                        <w:vAlign w:val="center"/>
                        <w:hideMark/>
                      </w:tcPr>
                      <w:p w:rsidR="00000000" w:rsidRDefault="00501E77">
                        <w:pPr>
                          <w:pStyle w:val="Normlnywebov"/>
                          <w:jc w:val="center"/>
                        </w:pPr>
                        <w:r>
                          <w:t>33 EUR</w:t>
                        </w:r>
                      </w:p>
                    </w:tc>
                  </w:tr>
                </w:tbl>
                <w:p w:rsidR="00000000" w:rsidRDefault="00501E77">
                  <w:pPr>
                    <w:pStyle w:val="Normlnywebov"/>
                  </w:pPr>
                  <w:r>
                    <w:br/>
                    <w:t>Vstupný test má aj ďalšie kvalitatívne prínosy:</w:t>
                  </w:r>
                </w:p>
                <w:p w:rsidR="00000000" w:rsidRDefault="00501E77">
                  <w:pPr>
                    <w:numPr>
                      <w:ilvl w:val="0"/>
                      <w:numId w:val="42"/>
                    </w:numPr>
                    <w:spacing w:before="100" w:beforeAutospacing="1" w:after="100" w:afterAutospacing="1"/>
                    <w:rPr>
                      <w:rFonts w:eastAsia="Times New Roman"/>
                    </w:rPr>
                  </w:pPr>
                  <w:r>
                    <w:rPr>
                      <w:rFonts w:eastAsia="Times New Roman"/>
                    </w:rPr>
                    <w:t>Validný nástroj štátu na meranie úrovní digitálnych kompetencií občanov prostredníctvom spracovania štatistík. </w:t>
                  </w:r>
                </w:p>
                <w:p w:rsidR="00000000" w:rsidRDefault="00501E77">
                  <w:pPr>
                    <w:numPr>
                      <w:ilvl w:val="0"/>
                      <w:numId w:val="43"/>
                    </w:numPr>
                    <w:spacing w:before="100" w:beforeAutospacing="1" w:after="100" w:afterAutospacing="1"/>
                    <w:rPr>
                      <w:rFonts w:eastAsia="Times New Roman"/>
                    </w:rPr>
                  </w:pPr>
                  <w:r>
                    <w:rPr>
                      <w:rFonts w:eastAsia="Times New Roman"/>
                    </w:rPr>
                    <w:t xml:space="preserve">Schopnosť štátu na základe merania úrovní digitálnych kompetencií svojich občanov cielene implementovať nástroje zvyšovania kompetencií občanov </w:t>
                  </w:r>
                  <w:r>
                    <w:rPr>
                      <w:rFonts w:eastAsia="Times New Roman"/>
                    </w:rPr>
                    <w:t>v tejto oblasti v zmysle odporúčaní ER a EK. </w:t>
                  </w:r>
                </w:p>
                <w:p w:rsidR="00000000" w:rsidRDefault="00501E77">
                  <w:pPr>
                    <w:numPr>
                      <w:ilvl w:val="0"/>
                      <w:numId w:val="44"/>
                    </w:numPr>
                    <w:spacing w:before="100" w:beforeAutospacing="1" w:after="100" w:afterAutospacing="1"/>
                    <w:rPr>
                      <w:rFonts w:eastAsia="Times New Roman"/>
                    </w:rPr>
                  </w:pPr>
                  <w:r>
                    <w:rPr>
                      <w:rFonts w:eastAsia="Times New Roman"/>
                    </w:rPr>
                    <w:t>Zjednodušenie tvorby rozvojových plánov nezamestnaných ako aj zamestnancov za účelom zvýšenie svojej atraktivity na trhu práce.</w:t>
                  </w:r>
                </w:p>
                <w:p w:rsidR="00000000" w:rsidRDefault="00501E77">
                  <w:pPr>
                    <w:pStyle w:val="Normlnywebov"/>
                  </w:pPr>
                  <w:r>
                    <w:t>Keďže však tieto prínosy nie je možné jednoznačne naceniť, napriek ich vysokej hod</w:t>
                  </w:r>
                  <w:r>
                    <w:t>note sme ich pri výpočte nebrali do úvahy.</w:t>
                  </w:r>
                </w:p>
                <w:p w:rsidR="00000000" w:rsidRDefault="00501E77">
                  <w:pPr>
                    <w:pStyle w:val="Normlnywebov"/>
                  </w:pPr>
                  <w:r>
                    <w:rPr>
                      <w:rStyle w:val="Siln"/>
                    </w:rPr>
                    <w:t>1.3.         Počet vydaných certifikátov ročne</w:t>
                  </w:r>
                </w:p>
                <w:p w:rsidR="00000000" w:rsidRDefault="00501E77">
                  <w:pPr>
                    <w:pStyle w:val="Normlnywebov"/>
                    <w:jc w:val="both"/>
                  </w:pPr>
                  <w:r>
                    <w:t>Po zohľadnení cieľovej skupiny projektu, ktorá je na úrovnic 2,3 mil. obyvateľov boli s cieľom konzervatívneho prístupu k výpočtu prínosov vstupné dáta pre počet vyda</w:t>
                  </w:r>
                  <w:r>
                    <w:t>ných certifikátov stanovené na 500 vydaných certifikátov na 1 akreditovaného certifikačného partnera v prvom roku prevádzky (celkovo 1 000) a 2000 vydaných certifikátov na 1 akreditovaného certifikačného partnera  v poslednom roku referenčného obodbia (cel</w:t>
                  </w:r>
                  <w:r>
                    <w:t>kovo 4000) . Ide o výrazne konzervatívny predpoklad vychádzajúci z faktu, že napr. o počet certifikačných dní British Council, ktorý certifikuje v 20tich termínoch za rok, pričom vzhľadom na kapacity certifikujú maximálne 100 osôb za deň, avšak na druhej s</w:t>
                  </w:r>
                  <w:r>
                    <w:t>trane kapacity certifikačných partnerov umožňujú odsiahnuť aj 10 000 certifikovaných. </w:t>
                  </w:r>
                </w:p>
                <w:p w:rsidR="00000000" w:rsidRDefault="00501E77">
                  <w:pPr>
                    <w:pStyle w:val="Normlnywebov"/>
                  </w:pPr>
                  <w:r>
                    <w:t> </w:t>
                  </w:r>
                </w:p>
                <w:tbl>
                  <w:tblPr>
                    <w:tblW w:w="0" w:type="dxa"/>
                    <w:tblCellMar>
                      <w:left w:w="0" w:type="dxa"/>
                      <w:right w:w="0" w:type="dxa"/>
                    </w:tblCellMar>
                    <w:tblLook w:val="04A0" w:firstRow="1" w:lastRow="0" w:firstColumn="1" w:lastColumn="0" w:noHBand="0" w:noVBand="1"/>
                  </w:tblPr>
                  <w:tblGrid>
                    <w:gridCol w:w="1835"/>
                    <w:gridCol w:w="1843"/>
                    <w:gridCol w:w="1843"/>
                    <w:gridCol w:w="1701"/>
                    <w:gridCol w:w="1842"/>
                  </w:tblGrid>
                  <w:tr w:rsidR="00000000">
                    <w:trPr>
                      <w:divId w:val="83690679"/>
                      <w:cantSplit/>
                      <w:trHeight w:val="320"/>
                    </w:trPr>
                    <w:tc>
                      <w:tcPr>
                        <w:tcW w:w="1835" w:type="dxa"/>
                        <w:tcBorders>
                          <w:top w:val="single" w:sz="8" w:space="0" w:color="auto"/>
                          <w:left w:val="single" w:sz="8" w:space="0" w:color="auto"/>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jc w:val="center"/>
                          <w:rPr>
                            <w:rFonts w:eastAsia="Times New Roman"/>
                          </w:rPr>
                        </w:pPr>
                        <w:r>
                          <w:rPr>
                            <w:rFonts w:eastAsia="Times New Roman"/>
                          </w:rPr>
                          <w:t>t1</w:t>
                        </w:r>
                      </w:p>
                    </w:tc>
                    <w:tc>
                      <w:tcPr>
                        <w:tcW w:w="1843"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t2</w:t>
                        </w:r>
                      </w:p>
                    </w:tc>
                    <w:tc>
                      <w:tcPr>
                        <w:tcW w:w="1843"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jc w:val="center"/>
                          <w:rPr>
                            <w:rFonts w:eastAsia="Times New Roman"/>
                          </w:rPr>
                        </w:pPr>
                        <w:r>
                          <w:rPr>
                            <w:rFonts w:eastAsia="Times New Roman"/>
                          </w:rPr>
                          <w:t>t3</w:t>
                        </w:r>
                      </w:p>
                    </w:tc>
                    <w:tc>
                      <w:tcPr>
                        <w:tcW w:w="1701"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jc w:val="center"/>
                          <w:rPr>
                            <w:rFonts w:eastAsia="Times New Roman"/>
                          </w:rPr>
                        </w:pPr>
                        <w:r>
                          <w:rPr>
                            <w:rFonts w:eastAsia="Times New Roman"/>
                          </w:rPr>
                          <w:t>t4</w:t>
                        </w:r>
                      </w:p>
                    </w:tc>
                    <w:tc>
                      <w:tcPr>
                        <w:tcW w:w="1842"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jc w:val="center"/>
                          <w:rPr>
                            <w:rFonts w:eastAsia="Times New Roman"/>
                          </w:rPr>
                        </w:pPr>
                        <w:r>
                          <w:rPr>
                            <w:rFonts w:eastAsia="Times New Roman"/>
                          </w:rPr>
                          <w:t>t5</w:t>
                        </w:r>
                      </w:p>
                    </w:tc>
                  </w:tr>
                  <w:tr w:rsidR="00000000">
                    <w:trPr>
                      <w:divId w:val="83690679"/>
                      <w:cantSplit/>
                      <w:trHeight w:val="320"/>
                    </w:trPr>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color w:val="000000"/>
                          </w:rPr>
                          <w:t>implementácia</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color w:val="000000"/>
                          </w:rPr>
                          <w:t>implementácia</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color w:val="000000"/>
                          </w:rPr>
                          <w:t>implementácia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1 000</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1 500</w:t>
                        </w:r>
                      </w:p>
                    </w:tc>
                  </w:tr>
                  <w:tr w:rsidR="00000000">
                    <w:trPr>
                      <w:divId w:val="83690679"/>
                      <w:cantSplit/>
                      <w:trHeight w:val="320"/>
                    </w:trPr>
                    <w:tc>
                      <w:tcPr>
                        <w:tcW w:w="1835" w:type="dxa"/>
                        <w:tcBorders>
                          <w:top w:val="nil"/>
                          <w:left w:val="single" w:sz="8" w:space="0" w:color="auto"/>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t6</w:t>
                        </w:r>
                      </w:p>
                    </w:tc>
                    <w:tc>
                      <w:tcPr>
                        <w:tcW w:w="1843"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t7</w:t>
                        </w:r>
                      </w:p>
                    </w:tc>
                    <w:tc>
                      <w:tcPr>
                        <w:tcW w:w="1843"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t8</w:t>
                        </w:r>
                      </w:p>
                    </w:tc>
                    <w:tc>
                      <w:tcPr>
                        <w:tcW w:w="1701"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t9</w:t>
                        </w:r>
                      </w:p>
                    </w:tc>
                    <w:tc>
                      <w:tcPr>
                        <w:tcW w:w="1842"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t10</w:t>
                        </w:r>
                      </w:p>
                    </w:tc>
                  </w:tr>
                  <w:tr w:rsidR="00000000">
                    <w:trPr>
                      <w:divId w:val="83690679"/>
                      <w:cantSplit/>
                      <w:trHeight w:val="320"/>
                    </w:trPr>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2 000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2 500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3 000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3 500</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4 000</w:t>
                        </w:r>
                      </w:p>
                    </w:tc>
                  </w:tr>
                </w:tbl>
                <w:p w:rsidR="00000000" w:rsidRDefault="00501E77">
                  <w:pPr>
                    <w:pStyle w:val="Normlnywebov"/>
                  </w:pPr>
                  <w:r>
                    <w:t> </w:t>
                  </w:r>
                </w:p>
                <w:p w:rsidR="00000000" w:rsidRDefault="00501E77">
                  <w:pPr>
                    <w:pStyle w:val="Normlnywebov"/>
                  </w:pPr>
                  <w:r>
                    <w:rPr>
                      <w:rStyle w:val="Siln"/>
                    </w:rPr>
                    <w:t>1.4.         Počet sebahodnotení ročne </w:t>
                  </w:r>
                </w:p>
                <w:p w:rsidR="00000000" w:rsidRDefault="00501E77">
                  <w:pPr>
                    <w:pStyle w:val="Normlnywebov"/>
                    <w:jc w:val="both"/>
                  </w:pPr>
                  <w:r>
                    <w:t>Z hľadiska počtu sebahodnotení bola plánovaná hodnota (po  zohľadnení celkovej cieľovej skupiny) stanovená na 70 000 self-testov ročne (počet self-testov na 1 osobu nebude obmedzený). V nábehovom roku t4 sa počíta s 35 000 self-testami ročne. Počet self-te</w:t>
                  </w:r>
                  <w:r>
                    <w:t>stov vychádza z prahových hodnôt vypočítaných na základe štatistík Eurostatu.</w:t>
                  </w:r>
                </w:p>
                <w:p w:rsidR="00000000" w:rsidRDefault="00501E77">
                  <w:pPr>
                    <w:pStyle w:val="Normlnywebov"/>
                  </w:pPr>
                  <w:r>
                    <w:t> </w:t>
                  </w:r>
                </w:p>
                <w:tbl>
                  <w:tblPr>
                    <w:tblW w:w="0" w:type="dxa"/>
                    <w:tblCellMar>
                      <w:left w:w="0" w:type="dxa"/>
                      <w:right w:w="0" w:type="dxa"/>
                    </w:tblCellMar>
                    <w:tblLook w:val="04A0" w:firstRow="1" w:lastRow="0" w:firstColumn="1" w:lastColumn="0" w:noHBand="0" w:noVBand="1"/>
                  </w:tblPr>
                  <w:tblGrid>
                    <w:gridCol w:w="1835"/>
                    <w:gridCol w:w="1843"/>
                    <w:gridCol w:w="1843"/>
                    <w:gridCol w:w="1701"/>
                    <w:gridCol w:w="1842"/>
                  </w:tblGrid>
                  <w:tr w:rsidR="00000000">
                    <w:trPr>
                      <w:divId w:val="997806796"/>
                      <w:cantSplit/>
                      <w:trHeight w:val="320"/>
                    </w:trPr>
                    <w:tc>
                      <w:tcPr>
                        <w:tcW w:w="1835" w:type="dxa"/>
                        <w:tcBorders>
                          <w:top w:val="single" w:sz="8" w:space="0" w:color="auto"/>
                          <w:left w:val="single" w:sz="8" w:space="0" w:color="auto"/>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t1</w:t>
                        </w:r>
                      </w:p>
                    </w:tc>
                    <w:tc>
                      <w:tcPr>
                        <w:tcW w:w="1843"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t2</w:t>
                        </w:r>
                      </w:p>
                    </w:tc>
                    <w:tc>
                      <w:tcPr>
                        <w:tcW w:w="1843"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t3</w:t>
                        </w:r>
                      </w:p>
                    </w:tc>
                    <w:tc>
                      <w:tcPr>
                        <w:tcW w:w="1701"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t4</w:t>
                        </w:r>
                      </w:p>
                    </w:tc>
                    <w:tc>
                      <w:tcPr>
                        <w:tcW w:w="1842"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t5</w:t>
                        </w:r>
                      </w:p>
                    </w:tc>
                  </w:tr>
                  <w:tr w:rsidR="00000000">
                    <w:trPr>
                      <w:divId w:val="997806796"/>
                      <w:cantSplit/>
                      <w:trHeight w:val="320"/>
                    </w:trPr>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center"/>
                        </w:pPr>
                        <w:r>
                          <w:rPr>
                            <w:color w:val="000000"/>
                          </w:rPr>
                          <w:t>implementácia</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center"/>
                        </w:pPr>
                        <w:r>
                          <w:rPr>
                            <w:color w:val="000000"/>
                          </w:rPr>
                          <w:t>implementácia</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center"/>
                        </w:pPr>
                        <w:r>
                          <w:rPr>
                            <w:color w:val="000000"/>
                          </w:rPr>
                          <w:t>implementácia</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01E77">
                        <w:pPr>
                          <w:spacing w:before="100" w:beforeAutospacing="1" w:after="100" w:afterAutospacing="1"/>
                          <w:jc w:val="right"/>
                        </w:pPr>
                        <w:r>
                          <w:t>35 000</w:t>
                        </w:r>
                        <w:r>
                          <w:rPr>
                            <w:color w:val="00000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01E77">
                        <w:pPr>
                          <w:spacing w:before="100" w:beforeAutospacing="1" w:after="100" w:afterAutospacing="1"/>
                          <w:jc w:val="right"/>
                        </w:pPr>
                        <w:r>
                          <w:t>70 000</w:t>
                        </w:r>
                        <w:r>
                          <w:rPr>
                            <w:color w:val="000000"/>
                          </w:rPr>
                          <w:t> </w:t>
                        </w:r>
                      </w:p>
                    </w:tc>
                  </w:tr>
                  <w:tr w:rsidR="00000000">
                    <w:trPr>
                      <w:divId w:val="997806796"/>
                      <w:cantSplit/>
                      <w:trHeight w:val="320"/>
                    </w:trPr>
                    <w:tc>
                      <w:tcPr>
                        <w:tcW w:w="1835" w:type="dxa"/>
                        <w:tcBorders>
                          <w:top w:val="nil"/>
                          <w:left w:val="single" w:sz="8" w:space="0" w:color="auto"/>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t6</w:t>
                        </w:r>
                      </w:p>
                    </w:tc>
                    <w:tc>
                      <w:tcPr>
                        <w:tcW w:w="1843"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t7</w:t>
                        </w:r>
                      </w:p>
                    </w:tc>
                    <w:tc>
                      <w:tcPr>
                        <w:tcW w:w="1843"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t8</w:t>
                        </w:r>
                      </w:p>
                    </w:tc>
                    <w:tc>
                      <w:tcPr>
                        <w:tcW w:w="1701"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t9</w:t>
                        </w:r>
                      </w:p>
                    </w:tc>
                    <w:tc>
                      <w:tcPr>
                        <w:tcW w:w="1842" w:type="dxa"/>
                        <w:tcBorders>
                          <w:top w:val="nil"/>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rsidR="00000000" w:rsidRDefault="00501E77">
                        <w:pPr>
                          <w:spacing w:before="100" w:beforeAutospacing="1" w:after="100" w:afterAutospacing="1"/>
                          <w:jc w:val="right"/>
                        </w:pPr>
                        <w:r>
                          <w:rPr>
                            <w:color w:val="000000"/>
                          </w:rPr>
                          <w:t>t10</w:t>
                        </w:r>
                      </w:p>
                    </w:tc>
                  </w:tr>
                  <w:tr w:rsidR="00000000">
                    <w:trPr>
                      <w:divId w:val="997806796"/>
                      <w:cantSplit/>
                      <w:trHeight w:val="320"/>
                    </w:trPr>
                    <w:tc>
                      <w:tcPr>
                        <w:tcW w:w="1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501E77">
                        <w:pPr>
                          <w:spacing w:before="100" w:beforeAutospacing="1" w:after="100" w:afterAutospacing="1"/>
                          <w:jc w:val="right"/>
                        </w:pPr>
                        <w:r>
                          <w:t>70 000</w:t>
                        </w:r>
                        <w:r>
                          <w:rPr>
                            <w:color w:val="00000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01E77">
                        <w:pPr>
                          <w:spacing w:before="100" w:beforeAutospacing="1" w:after="100" w:afterAutospacing="1"/>
                          <w:jc w:val="right"/>
                        </w:pPr>
                        <w:r>
                          <w:t>70 000</w:t>
                        </w:r>
                        <w:r>
                          <w:rPr>
                            <w:color w:val="000000"/>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01E77">
                        <w:pPr>
                          <w:spacing w:before="100" w:beforeAutospacing="1" w:after="100" w:afterAutospacing="1"/>
                          <w:jc w:val="right"/>
                        </w:pPr>
                        <w:r>
                          <w:t>70 000</w:t>
                        </w:r>
                        <w:r>
                          <w:rPr>
                            <w:color w:val="000000"/>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01E77">
                        <w:pPr>
                          <w:spacing w:before="100" w:beforeAutospacing="1" w:after="100" w:afterAutospacing="1"/>
                          <w:jc w:val="right"/>
                        </w:pPr>
                        <w:r>
                          <w:t>70 000</w:t>
                        </w:r>
                        <w:r>
                          <w:rPr>
                            <w:color w:val="00000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501E77">
                        <w:pPr>
                          <w:spacing w:before="100" w:beforeAutospacing="1" w:after="100" w:afterAutospacing="1"/>
                          <w:jc w:val="right"/>
                        </w:pPr>
                        <w:r>
                          <w:t>70 000</w:t>
                        </w:r>
                        <w:r>
                          <w:rPr>
                            <w:color w:val="000000"/>
                          </w:rPr>
                          <w:t> </w:t>
                        </w:r>
                      </w:p>
                    </w:tc>
                  </w:tr>
                </w:tbl>
                <w:p w:rsidR="00000000" w:rsidRDefault="00501E77">
                  <w:pPr>
                    <w:pStyle w:val="Normlnywebov"/>
                  </w:pPr>
                  <w:r>
                    <w:t> </w:t>
                  </w:r>
                </w:p>
                <w:p w:rsidR="00000000" w:rsidRDefault="00501E77">
                  <w:pPr>
                    <w:pStyle w:val="Normlnywebov"/>
                  </w:pPr>
                  <w:r>
                    <w:rPr>
                      <w:rStyle w:val="Siln"/>
                    </w:rPr>
                    <w:t>1.5. </w:t>
                  </w:r>
                  <w:r>
                    <w:rPr>
                      <w:rStyle w:val="Siln"/>
                    </w:rPr>
                    <w:t>Prahové hodnoty na základe dostupných štatistík</w:t>
                  </w:r>
                </w:p>
                <w:p w:rsidR="00000000" w:rsidRDefault="00501E77">
                  <w:pPr>
                    <w:pStyle w:val="Normlnywebov"/>
                  </w:pPr>
                  <w:r>
                    <w:rPr>
                      <w:rStyle w:val="Siln"/>
                    </w:rPr>
                    <w:t>Údaje uvedené v kapitole 1.3 a 1.4 obsahujú vstupné dáta do výpočtu prínosov so zohľadnením kapacitných možností akreditovaných certifikačných partnerov. Aby bola overeá ich dosiahnuteľnosť na základe dostupn</w:t>
                  </w:r>
                  <w:r>
                    <w:rPr>
                      <w:rStyle w:val="Siln"/>
                    </w:rPr>
                    <w:t>ých štatistík boli vypočítané aj prahové hodnoty na základe dostupných štatistík Eurostat.</w:t>
                  </w:r>
                  <w:r>
                    <w:t> Prahové hodnoty sa počítali na základe „Adult Education Survey (AES)“ za rok 2016, ktorý je súčasťou štatistiky Eurostat o celoživotnom vzdelávaní a učení sa, pričom</w:t>
                  </w:r>
                  <w:r>
                    <w:t xml:space="preserve"> sa do úvahy brala skupina obyvateľstva vo veku 25 – 64 rokov.</w:t>
                  </w:r>
                </w:p>
                <w:p w:rsidR="00000000" w:rsidRDefault="00501E77">
                  <w:pPr>
                    <w:spacing w:before="100" w:beforeAutospacing="1" w:after="100" w:afterAutospacing="1"/>
                    <w:jc w:val="both"/>
                  </w:pPr>
                  <w:r>
                    <w:t xml:space="preserve">V prvom kroku sa vyčíslilo zastúpenie vekovej kategórie 25 – 64 ročných na celkovom počte obyvateľov SR. Táto veková kategória bola vzatá do úvahy, keďže štatistiky v rámci AES sú vypočítavané </w:t>
                  </w:r>
                  <w:r>
                    <w:t>pre takto stanovenú vekovú kategóriu. Uvedené znamená, že pre výsledné odhadované číslo existuje rezerva, ktorú predstavuje obyvateľstva mladšie ako 25 rokov a staršie ako 64 rokov.</w:t>
                  </w:r>
                </w:p>
                <w:p w:rsidR="00000000" w:rsidRDefault="00501E77">
                  <w:pPr>
                    <w:pStyle w:val="Normlnywebov"/>
                  </w:pPr>
                  <w:r>
                    <w:t>Následne v druhom kroku sa do úvahy vzal celkový podiel obyvateľov vo veko</w:t>
                  </w:r>
                  <w:r>
                    <w:t>vej skupine 25 – 64 rokov, ktorí podľa AES absolovali v posledných 12 mesiacoch formálnu alebo neformálnu vzdelávaciu aktivitu. Keďže výsledný počet zahŕňa všetky oblasti vzdelávania v treťom kroku bolo potrebné zohľadniť, aký podiel na celkovom počte vzde</w:t>
                  </w:r>
                  <w:r>
                    <w:t xml:space="preserve">lávacích aktivít dosahujú vzdelávacie aktivity v oblasti IKT. Na základe ďalšej štatistiky v rámci AES, tak bol vyčíslený celkový počet obyvateľov SR vo vekovej kategórii 25 – 64 rokov, ktorí za posledných 12 mesiacov absolvovali formálnu alebo neformálnu </w:t>
                  </w:r>
                  <w:r>
                    <w:t xml:space="preserve">vzdelávaciu aktivity v oblasti IKT technológií. Výsledné hodnoty dávajú predpoklad, že plánované hodnoty, ktoré predstavujú vstup do CBA je reálne dosiahnuť, a to ako čo sa týka vydaných certifikátov, tak aj self-testov (keďže AES nezapočítava obyvateľov, </w:t>
                  </w:r>
                  <w:r>
                    <w:t>ktorí sa vzdelávajú mimo formálnych alebo neformálnych vzdelávacích aktivít, napr. doma alebo spôsobom learning by doing.)</w:t>
                  </w:r>
                </w:p>
                <w:tbl>
                  <w:tblPr>
                    <w:tblW w:w="0" w:type="dxa"/>
                    <w:tblCellMar>
                      <w:left w:w="0" w:type="dxa"/>
                      <w:right w:w="0" w:type="dxa"/>
                    </w:tblCellMar>
                    <w:tblLook w:val="04A0" w:firstRow="1" w:lastRow="0" w:firstColumn="1" w:lastColumn="0" w:noHBand="0" w:noVBand="1"/>
                  </w:tblPr>
                  <w:tblGrid>
                    <w:gridCol w:w="850"/>
                    <w:gridCol w:w="2835"/>
                    <w:gridCol w:w="1037"/>
                    <w:gridCol w:w="1375"/>
                    <w:gridCol w:w="3779"/>
                    <w:gridCol w:w="2651"/>
                  </w:tblGrid>
                  <w:tr w:rsidR="00000000">
                    <w:trPr>
                      <w:divId w:val="1615821795"/>
                      <w:cantSplit/>
                      <w:trHeight w:val="260"/>
                    </w:trPr>
                    <w:tc>
                      <w:tcPr>
                        <w:tcW w:w="850"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 </w:t>
                        </w:r>
                      </w:p>
                    </w:tc>
                    <w:tc>
                      <w:tcPr>
                        <w:tcW w:w="2835"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Ukazovateľ</w:t>
                        </w:r>
                      </w:p>
                    </w:tc>
                    <w:tc>
                      <w:tcPr>
                        <w:tcW w:w="1037"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Relatívne vyjadrenie</w:t>
                        </w:r>
                      </w:p>
                    </w:tc>
                    <w:tc>
                      <w:tcPr>
                        <w:tcW w:w="1375"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Absolútna hodnota</w:t>
                        </w:r>
                      </w:p>
                    </w:tc>
                    <w:tc>
                      <w:tcPr>
                        <w:tcW w:w="3779"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Zdroj</w:t>
                        </w:r>
                      </w:p>
                    </w:tc>
                    <w:tc>
                      <w:tcPr>
                        <w:tcW w:w="2651"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Zdrojová tabuľka</w:t>
                        </w:r>
                      </w:p>
                    </w:tc>
                  </w:tr>
                  <w:tr w:rsidR="00000000">
                    <w:trPr>
                      <w:divId w:val="1615821795"/>
                      <w:cantSplit/>
                      <w:trHeight w:val="1300"/>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Krok 1</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Počet obyvateľov SR vo veku 25 - 64 rokov</w:t>
                        </w:r>
                      </w:p>
                    </w:tc>
                    <w:tc>
                      <w:tcPr>
                        <w:tcW w:w="10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 </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sz w:val="18"/>
                            <w:szCs w:val="18"/>
                          </w:rPr>
                          <w:t>3 160 </w:t>
                        </w:r>
                        <w:r>
                          <w:rPr>
                            <w:sz w:val="18"/>
                            <w:szCs w:val="18"/>
                          </w:rPr>
                          <w:t>799</w:t>
                        </w:r>
                      </w:p>
                    </w:tc>
                    <w:tc>
                      <w:tcPr>
                        <w:tcW w:w="377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hyperlink r:id="rId54" w:history="1">
                          <w:r>
                            <w:rPr>
                              <w:rStyle w:val="Hypertextovprepojenie"/>
                              <w:sz w:val="18"/>
                              <w:szCs w:val="18"/>
                            </w:rPr>
                            <w:t>http://datacube.statistics.sk</w:t>
                          </w:r>
                        </w:hyperlink>
                      </w:p>
                    </w:tc>
                    <w:tc>
                      <w:tcPr>
                        <w:tcW w:w="26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Vekové zloženie obyvateľstva SR podľa pohlavia a 5-ročných vekových skupín [om2023rs]</w:t>
                        </w:r>
                      </w:p>
                    </w:tc>
                  </w:tr>
                  <w:tr w:rsidR="00000000">
                    <w:trPr>
                      <w:divId w:val="1615821795"/>
                      <w:cantSplit/>
                      <w:trHeight w:val="1040"/>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Krok 2</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Podiel obyvateľov SR v tejto vekovej skupine, ktorí v posledných 12 mesiacoch abs</w:t>
                        </w:r>
                        <w:r>
                          <w:rPr>
                            <w:sz w:val="18"/>
                            <w:szCs w:val="18"/>
                          </w:rPr>
                          <w:t>olvovali formálnu alebo neformálnu vzdelávaciu aktivitu</w:t>
                        </w:r>
                      </w:p>
                    </w:tc>
                    <w:tc>
                      <w:tcPr>
                        <w:tcW w:w="10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sz w:val="18"/>
                            <w:szCs w:val="18"/>
                          </w:rPr>
                          <w:t>46,10%</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sz w:val="18"/>
                            <w:szCs w:val="18"/>
                          </w:rPr>
                          <w:t>1 457 128</w:t>
                        </w:r>
                      </w:p>
                    </w:tc>
                    <w:tc>
                      <w:tcPr>
                        <w:tcW w:w="377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https://ec.europa.eu/eurostat/web/education-and-training/data/database</w:t>
                        </w:r>
                      </w:p>
                    </w:tc>
                    <w:tc>
                      <w:tcPr>
                        <w:tcW w:w="26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Participation rate in education and training by age [trng_aes_101]</w:t>
                        </w:r>
                      </w:p>
                    </w:tc>
                  </w:tr>
                  <w:tr w:rsidR="00000000">
                    <w:trPr>
                      <w:divId w:val="1615821795"/>
                      <w:cantSplit/>
                      <w:trHeight w:val="1300"/>
                    </w:trPr>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Krok 3</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 xml:space="preserve">Podiel vzdelávacích aktivít v obasti </w:t>
                        </w:r>
                        <w:r>
                          <w:rPr>
                            <w:sz w:val="18"/>
                            <w:szCs w:val="18"/>
                          </w:rPr>
                          <w:t>IKT na celkových vzdelávacích aktivitách na Slovensku</w:t>
                        </w:r>
                      </w:p>
                    </w:tc>
                    <w:tc>
                      <w:tcPr>
                        <w:tcW w:w="103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jc w:val="right"/>
                        </w:pPr>
                        <w:r>
                          <w:rPr>
                            <w:sz w:val="18"/>
                            <w:szCs w:val="18"/>
                          </w:rPr>
                          <w:t>4,20%</w:t>
                        </w:r>
                      </w:p>
                    </w:tc>
                    <w:tc>
                      <w:tcPr>
                        <w:tcW w:w="1375" w:type="dxa"/>
                        <w:tcBorders>
                          <w:top w:val="nil"/>
                          <w:left w:val="nil"/>
                          <w:bottom w:val="single" w:sz="8" w:space="0" w:color="auto"/>
                          <w:right w:val="single" w:sz="8" w:space="0" w:color="auto"/>
                        </w:tcBorders>
                        <w:shd w:val="clear" w:color="auto" w:fill="C4D79B"/>
                        <w:tcMar>
                          <w:top w:w="0" w:type="dxa"/>
                          <w:left w:w="108" w:type="dxa"/>
                          <w:bottom w:w="0" w:type="dxa"/>
                          <w:right w:w="108" w:type="dxa"/>
                        </w:tcMar>
                        <w:vAlign w:val="bottom"/>
                        <w:hideMark/>
                      </w:tcPr>
                      <w:p w:rsidR="00000000" w:rsidRDefault="00501E77">
                        <w:pPr>
                          <w:spacing w:before="100" w:beforeAutospacing="1" w:after="100" w:afterAutospacing="1"/>
                          <w:jc w:val="right"/>
                        </w:pPr>
                        <w:r>
                          <w:rPr>
                            <w:sz w:val="18"/>
                            <w:szCs w:val="18"/>
                          </w:rPr>
                          <w:t>61 199</w:t>
                        </w:r>
                      </w:p>
                    </w:tc>
                    <w:tc>
                      <w:tcPr>
                        <w:tcW w:w="377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https://ec.europa.eu/eurostat/web/education-and-training/data/database</w:t>
                        </w:r>
                      </w:p>
                    </w:tc>
                    <w:tc>
                      <w:tcPr>
                        <w:tcW w:w="265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00000" w:rsidRDefault="00501E77">
                        <w:pPr>
                          <w:spacing w:before="100" w:beforeAutospacing="1" w:after="100" w:afterAutospacing="1"/>
                        </w:pPr>
                        <w:r>
                          <w:rPr>
                            <w:sz w:val="18"/>
                            <w:szCs w:val="18"/>
                          </w:rPr>
                          <w:t>Distribution of education and training activities by field (ISCED-F 2013) [trng_aes_166]</w:t>
                        </w:r>
                      </w:p>
                    </w:tc>
                  </w:tr>
                </w:tbl>
                <w:p w:rsidR="00000000" w:rsidRDefault="00501E77">
                  <w:pPr>
                    <w:pStyle w:val="Normlnywebov"/>
                  </w:pPr>
                  <w:r>
                    <w:rPr>
                      <w:rStyle w:val="Siln"/>
                    </w:rPr>
                    <w:t>Záver</w:t>
                  </w:r>
                </w:p>
                <w:p w:rsidR="00000000" w:rsidRDefault="00501E77">
                  <w:pPr>
                    <w:pStyle w:val="Normlnywebov"/>
                  </w:pPr>
                  <w:r>
                    <w:t>Na základe vykonaného prepočtu je možné konštatovať, že stanovené ročné hodnoty vstupných parametrov je možné dosiahnuť.</w:t>
                  </w:r>
                </w:p>
                <w:p w:rsidR="00000000" w:rsidRDefault="00501E77">
                  <w:pPr>
                    <w:pStyle w:val="Normlnywebov"/>
                  </w:pPr>
                  <w:r>
                    <w:rPr>
                      <w:rStyle w:val="Siln"/>
                    </w:rPr>
                    <w:t>Testovacie položky pre certifikáciu</w:t>
                  </w:r>
                  <w:r>
                    <w:t> </w:t>
                  </w:r>
                </w:p>
                <w:p w:rsidR="00000000" w:rsidRDefault="00501E77">
                  <w:pPr>
                    <w:pStyle w:val="Normlnywebov"/>
                  </w:pPr>
                  <w:r>
                    <w:t>V prípade testovacích položiek pre certifikáciu sme zvolili počty v zmysle Prílohy Vybrané detaily</w:t>
                  </w:r>
                  <w:r>
                    <w:t xml:space="preserve"> Business architektúry, t.j 500 položiek na test. Pre vstupný test sme v zmysle tej istej prílohy predpokladali počet 300 položiek. </w:t>
                  </w:r>
                </w:p>
                <w:p w:rsidR="00000000" w:rsidRDefault="00501E77">
                  <w:pPr>
                    <w:pStyle w:val="Normlnywebov"/>
                  </w:pPr>
                  <w:r>
                    <w:t>Zabezpečenie testovacích položiek má dve zložky – zabezpečenie všeobecných činností a zabezpečenie vytvorenia a naplnenia s</w:t>
                  </w:r>
                  <w:r>
                    <w:t>amotných položiek. Každá položka má niekoľko častí a otázok, položkou nie je jednoduchá otázka. </w:t>
                  </w:r>
                </w:p>
                <w:p w:rsidR="00000000" w:rsidRDefault="00501E77">
                  <w:pPr>
                    <w:pStyle w:val="Normlnywebov"/>
                  </w:pPr>
                  <w:r>
                    <w:t>Časová náročnosť vytvorenia a vypracovania položky je daná nasledujúcimi faktormi: </w:t>
                  </w:r>
                </w:p>
                <w:p w:rsidR="00000000" w:rsidRDefault="00501E77">
                  <w:pPr>
                    <w:pStyle w:val="Normlnywebov"/>
                  </w:pPr>
                  <w:r>
                    <w:t>-          expertná úroveň napĺňajúceho </w:t>
                  </w:r>
                </w:p>
                <w:p w:rsidR="00000000" w:rsidRDefault="00501E77">
                  <w:pPr>
                    <w:pStyle w:val="Normlnywebov"/>
                  </w:pPr>
                  <w:r>
                    <w:t>-          počet položiek k jednej</w:t>
                  </w:r>
                  <w:r>
                    <w:t xml:space="preserve"> téme (každá ďalšia položka zvyšuje náročnosť tvorby nových neopakujúcich sa otázok) </w:t>
                  </w:r>
                </w:p>
                <w:p w:rsidR="00000000" w:rsidRDefault="00501E77">
                  <w:pPr>
                    <w:pStyle w:val="Normlnywebov"/>
                  </w:pPr>
                  <w:r>
                    <w:t>-          počet tém (každá téma znamená samostatnú prípravu) </w:t>
                  </w:r>
                </w:p>
                <w:p w:rsidR="00000000" w:rsidRDefault="00501E77">
                  <w:pPr>
                    <w:pStyle w:val="Normlnywebov"/>
                  </w:pPr>
                  <w:r>
                    <w:t>-          počet otázok v jednej položke (vychádzame z priemerného počtu 3 otázky na položku) </w:t>
                  </w:r>
                </w:p>
                <w:p w:rsidR="00000000" w:rsidRDefault="00501E77">
                  <w:pPr>
                    <w:pStyle w:val="Normlnywebov"/>
                  </w:pPr>
                  <w:r>
                    <w:t>Obnovu polož</w:t>
                  </w:r>
                  <w:r>
                    <w:t>iek predpokladáme v objeme 5% z celkového počtu položiek ročne. </w:t>
                  </w:r>
                </w:p>
                <w:p w:rsidR="00000000" w:rsidRDefault="00501E77">
                  <w:pPr>
                    <w:pStyle w:val="Normlnywebov"/>
                  </w:pPr>
                  <w:r>
                    <w:t>Maximálny čas naplnenia jednej položky by nemal prekročiť úsilie v objeme jedného človekodňa.</w:t>
                  </w:r>
                </w:p>
                <w:p w:rsidR="00000000" w:rsidRDefault="00501E77">
                  <w:pPr>
                    <w:pStyle w:val="Normlnywebov"/>
                  </w:pPr>
                  <w:r>
                    <w:t>  </w:t>
                  </w:r>
                </w:p>
                <w:p w:rsidR="00000000" w:rsidRDefault="00501E77">
                  <w:pPr>
                    <w:pStyle w:val="Normlnywebov"/>
                  </w:pPr>
                  <w:r>
                    <w:rPr>
                      <w:rStyle w:val="Siln"/>
                    </w:rPr>
                    <w:t>Stanovenie priemernej ceny experta</w:t>
                  </w:r>
                </w:p>
                <w:p w:rsidR="00000000" w:rsidRDefault="00501E77">
                  <w:pPr>
                    <w:pStyle w:val="Normlnywebov"/>
                  </w:pPr>
                  <w:r>
                    <w:t>  Podľa dokumentu Príručka oprávnenosti výdavkov Prioritnej</w:t>
                  </w:r>
                  <w:r>
                    <w:t xml:space="preserve"> osi 7 Informačná spoločnosť Operačného programu Integrovaná infraštruktúra, Príloha č. 3 Príručky pre žiadateľa – fázované projekty PO7 OPII, ktorá ako jediná popisuje maximálne cenové hladiny jednotlivých expertov pre IT projekty financované v rámci prog</w:t>
                  </w:r>
                  <w:r>
                    <w:t>ramu OPII a pri určení pomerného počtu jednotlivých kategórií expertov (počty expertov sú pomerné a nie absolútne) nasledujúca tabuľka udáva maximálne priemerné náklady na experta v rámci jednotlivých aktivít:</w:t>
                  </w:r>
                </w:p>
                <w:tbl>
                  <w:tblPr>
                    <w:tblW w:w="0" w:type="auto"/>
                    <w:tblCellSpacing w:w="15" w:type="dxa"/>
                    <w:tblCellMar>
                      <w:left w:w="0" w:type="dxa"/>
                      <w:right w:w="0" w:type="dxa"/>
                    </w:tblCellMar>
                    <w:tblLook w:val="04A0" w:firstRow="1" w:lastRow="0" w:firstColumn="1" w:lastColumn="0" w:noHBand="0" w:noVBand="1"/>
                  </w:tblPr>
                  <w:tblGrid>
                    <w:gridCol w:w="160"/>
                    <w:gridCol w:w="160"/>
                    <w:gridCol w:w="160"/>
                    <w:gridCol w:w="160"/>
                    <w:gridCol w:w="160"/>
                    <w:gridCol w:w="160"/>
                    <w:gridCol w:w="480"/>
                    <w:gridCol w:w="480"/>
                    <w:gridCol w:w="480"/>
                  </w:tblGrid>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Aktivita/expert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FTE</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Sadzba ČD bez DPH</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Aktivita/expert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FTE</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Sadzba ČD bez DPH</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Analýza a dizajn</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18</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rStyle w:val="inline-comment-marker"/>
                            <w:b/>
                            <w:bCs/>
                          </w:rPr>
                          <w:t>67</w:t>
                        </w:r>
                        <w:r>
                          <w:rPr>
                            <w:rStyle w:val="inline-comment-marker"/>
                            <w:b/>
                            <w:bCs/>
                          </w:rPr>
                          <w:t>1</w:t>
                        </w: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Testovanie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16,5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rStyle w:val="inline-comment-marker"/>
                            <w:b/>
                            <w:bCs/>
                          </w:rPr>
                          <w:t>69</w:t>
                        </w:r>
                        <w:r>
                          <w:rPr>
                            <w:rStyle w:val="inline-comment-marker"/>
                            <w:b/>
                            <w:bCs/>
                          </w:rPr>
                          <w:t>6</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Projektový manažér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Projektový manažér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analytik</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analytik</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architekt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architekt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Business konzultant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Business konzultant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Administrátor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0,5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285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Administrátor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0,5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285</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Analytici</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2 960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programátor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Senior konzultanti</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1 140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Programátor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2 600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Konzlutanti</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2 280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tester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Junior konzultanti</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1 140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Tester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2 280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Dokumentarista</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Konzultant infraštruktúry</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790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Špecialista pre bezpečnosť</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0,5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1 200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Špecialista pre bezpečnosť</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1 200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1 200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Implementácia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20,5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703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Nasadenie</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14,5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713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Projektový manažér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Projektový manažér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890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analytik</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analytik</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740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architekt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architekt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910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Business konzultant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Business konzultant</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Administrátor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0,5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285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Administrátor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0,5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285</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programátor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programátor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Programátor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12</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7 800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Programátor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2 600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Tester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Hlavný tester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Konzultant infraštruktúry</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Tester</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1 140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Špecialista pre bezpečnosť</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1 200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1 200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Konzultant infraštruktúry</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790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Tvorba, migrácia a čistenie položiek na naplnenie digitálneho obsahu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Špecialista pre bezpečnosť</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1 200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1 200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Konzultanti</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Modul</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ČD</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Priemerná sadzba</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Modul</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ČD</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Priemerná sadzba</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jc w:val="center"/>
                          <w:rPr>
                            <w:b/>
                            <w:bCs/>
                          </w:rPr>
                        </w:pPr>
                        <w:r>
                          <w:rPr>
                            <w:b/>
                            <w:bCs/>
                          </w:rPr>
                          <w:t> </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Modul certifikácií</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6 930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653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4 525 290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Modul pre profiláciu</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2 010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673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1 352 730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Analýza a dizajn</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1 390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671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932 690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Analýza a dizajn</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671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328 790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Implementácia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1 850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703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1 300 550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Implementácia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703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492 100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Testovanie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695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696</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483 720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Testovanie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235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696</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163 560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Nasadenie</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695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713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495 535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Nasadenie</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240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713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171 120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Tvorba, migrácia a čistenie položiek na naplnenie digitálneho obsahu</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2 300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1 311 000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Tvorba, migrácia a čistenie položiek na naplnenie digitálneho obsahu</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345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196 650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Register certifikátov</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1 925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694</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1 335 950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Pomocné komponenty</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1 835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694</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Siln"/>
                          </w:rPr>
                          <w:t>1 273 490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Analýza a dizajn</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580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671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389 180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Analýza a dizajn</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560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671</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375 760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Implementácia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785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703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551 855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Implementácia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750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703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527 250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Testovanie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696</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187 920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Testovanie služieb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230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696</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160 080</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Nasadenie</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290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713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206 770</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Nasadenie</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295</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713</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210 335</w:t>
                        </w:r>
                      </w:p>
                    </w:tc>
                  </w:tr>
                  <w:tr w:rsidR="00000000">
                    <w:trPr>
                      <w:divId w:val="1860504884"/>
                      <w:cantSplit/>
                      <w:tblCellSpacing w:w="15" w:type="dxa"/>
                    </w:trPr>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r>
                  <w:tr w:rsidR="00000000">
                    <w:trPr>
                      <w:divId w:val="1860504884"/>
                      <w:cantSplit/>
                      <w:tblCellSpacing w:w="15" w:type="dxa"/>
                    </w:trPr>
                    <w:tc>
                      <w:tcPr>
                        <w:tcW w:w="0" w:type="auto"/>
                        <w:gridSpan w:val="6"/>
                        <w:tcMar>
                          <w:top w:w="15" w:type="dxa"/>
                          <w:left w:w="15" w:type="dxa"/>
                          <w:bottom w:w="15" w:type="dxa"/>
                          <w:right w:w="15" w:type="dxa"/>
                        </w:tcMar>
                        <w:vAlign w:val="center"/>
                        <w:hideMark/>
                      </w:tcPr>
                      <w:p w:rsidR="00000000" w:rsidRDefault="00501E77">
                        <w:pPr>
                          <w:spacing w:before="100" w:beforeAutospacing="1" w:after="100" w:afterAutospacing="1"/>
                        </w:pPr>
                        <w:r>
                          <w:t>Maximálna priemerná sadzba experta v projekte v Eur bez DPH</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t> </w:t>
                        </w:r>
                      </w:p>
                    </w:tc>
                    <w:tc>
                      <w:tcPr>
                        <w:tcW w:w="0" w:type="auto"/>
                        <w:tcMar>
                          <w:top w:w="15" w:type="dxa"/>
                          <w:left w:w="15" w:type="dxa"/>
                          <w:bottom w:w="15" w:type="dxa"/>
                          <w:right w:w="15" w:type="dxa"/>
                        </w:tcMar>
                        <w:vAlign w:val="center"/>
                        <w:hideMark/>
                      </w:tcPr>
                      <w:p w:rsidR="00000000" w:rsidRDefault="00501E77">
                        <w:pPr>
                          <w:spacing w:before="100" w:beforeAutospacing="1" w:after="100" w:afterAutospacing="1"/>
                        </w:pPr>
                        <w:r>
                          <w:rPr>
                            <w:rStyle w:val="inline-comment-marker"/>
                          </w:rPr>
                          <w:t>66</w:t>
                        </w:r>
                        <w:r>
                          <w:rPr>
                            <w:rStyle w:val="inline-comment-marker"/>
                          </w:rPr>
                          <w:t>8</w:t>
                        </w:r>
                        <w:r>
                          <w:t> </w:t>
                        </w:r>
                      </w:p>
                    </w:tc>
                  </w:tr>
                  <w:tr w:rsidR="00000000">
                    <w:trPr>
                      <w:divId w:val="1860504884"/>
                      <w:cantSplit/>
                      <w:tblCellSpacing w:w="15" w:type="dxa"/>
                    </w:trPr>
                    <w:tc>
                      <w:tcPr>
                        <w:tcW w:w="0" w:type="auto"/>
                        <w:gridSpan w:val="6"/>
                        <w:vAlign w:val="center"/>
                        <w:hideMark/>
                      </w:tcPr>
                      <w:p w:rsidR="00000000" w:rsidRDefault="00501E77">
                        <w:pPr>
                          <w:rPr>
                            <w:rFonts w:eastAsia="Times New Roman"/>
                          </w:rPr>
                        </w:pPr>
                        <w:r>
                          <w:rPr>
                            <w:rFonts w:eastAsia="Times New Roman"/>
                          </w:rPr>
                          <w:t>Maximálna priemerná sadzba experta v projekte v Eur s DPH</w:t>
                        </w:r>
                      </w:p>
                    </w:tc>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 </w:t>
                        </w:r>
                      </w:p>
                    </w:tc>
                    <w:tc>
                      <w:tcPr>
                        <w:tcW w:w="0" w:type="auto"/>
                        <w:vAlign w:val="center"/>
                        <w:hideMark/>
                      </w:tcPr>
                      <w:p w:rsidR="00000000" w:rsidRDefault="00501E77">
                        <w:pPr>
                          <w:rPr>
                            <w:rFonts w:eastAsia="Times New Roman"/>
                          </w:rPr>
                        </w:pPr>
                        <w:r>
                          <w:rPr>
                            <w:rFonts w:eastAsia="Times New Roman"/>
                          </w:rPr>
                          <w:t>801,60</w:t>
                        </w:r>
                      </w:p>
                    </w:tc>
                  </w:tr>
                </w:tbl>
                <w:p w:rsidR="00000000" w:rsidRDefault="00501E77">
                  <w:pPr>
                    <w:pStyle w:val="Normlnywebov"/>
                  </w:pPr>
                  <w:r>
                    <w:t>Pre zjednodušenie pracujeme v CBA s </w:t>
                  </w:r>
                  <w:r>
                    <w:t>jednotnou sumou 600 Eur/ČD s DPH, ktorá je významne nižšia ako maximálna priemerná sadzba za ČD.</w:t>
                  </w:r>
                </w:p>
                <w:p w:rsidR="00000000" w:rsidRDefault="00501E77">
                  <w:pPr>
                    <w:pStyle w:val="Normlnywebov"/>
                  </w:pPr>
                  <w:r>
                    <w:t>  </w:t>
                  </w:r>
                </w:p>
                <w:p w:rsidR="00000000" w:rsidRDefault="00501E77">
                  <w:pPr>
                    <w:pStyle w:val="Normlnywebov"/>
                  </w:pPr>
                  <w:r>
                    <w:rPr>
                      <w:rStyle w:val="Siln"/>
                    </w:rPr>
                    <w:t>Náklady na ľudské zdroje a prevádzkové náklady z pohľadu nákladov na jedného certifikovaného</w:t>
                  </w:r>
                  <w:r>
                    <w:t> </w:t>
                  </w:r>
                </w:p>
                <w:p w:rsidR="00000000" w:rsidRDefault="00501E77">
                  <w:pPr>
                    <w:pStyle w:val="Normlnywebov"/>
                  </w:pPr>
                  <w:r>
                    <w:t>Pri nákladoch na certifikácie u certifikačného partnera vychád</w:t>
                  </w:r>
                  <w:r>
                    <w:t>zame z nasledujúcich výpočtov, uvedených v tabuľke:</w:t>
                  </w:r>
                </w:p>
                <w:tbl>
                  <w:tblPr>
                    <w:tblW w:w="0" w:type="auto"/>
                    <w:tblCellSpacing w:w="15" w:type="dxa"/>
                    <w:tblCellMar>
                      <w:left w:w="0" w:type="dxa"/>
                      <w:right w:w="0" w:type="dxa"/>
                    </w:tblCellMar>
                    <w:tblLook w:val="04A0" w:firstRow="1" w:lastRow="0" w:firstColumn="1" w:lastColumn="0" w:noHBand="0" w:noVBand="1"/>
                  </w:tblPr>
                  <w:tblGrid>
                    <w:gridCol w:w="480"/>
                    <w:gridCol w:w="480"/>
                    <w:gridCol w:w="480"/>
                    <w:gridCol w:w="480"/>
                    <w:gridCol w:w="480"/>
                  </w:tblGrid>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i/>
                            <w:iCs/>
                          </w:rPr>
                          <w:t>Certifikačný partner</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Činnosť</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čas v hod</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Cena ČH</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Počet behov</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Suma</w:t>
                        </w:r>
                        <w:r>
                          <w:rPr>
                            <w:b/>
                            <w:bCs/>
                          </w:rPr>
                          <w:t> </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Dĺžka certifikácie v hod</w:t>
                        </w:r>
                      </w:p>
                    </w:tc>
                    <w:tc>
                      <w:tcPr>
                        <w:tcW w:w="0" w:type="auto"/>
                        <w:tcMar>
                          <w:top w:w="15" w:type="dxa"/>
                          <w:left w:w="15" w:type="dxa"/>
                          <w:bottom w:w="15" w:type="dxa"/>
                          <w:right w:w="15" w:type="dxa"/>
                        </w:tcMar>
                        <w:vAlign w:val="center"/>
                        <w:hideMark/>
                      </w:tcPr>
                      <w:p w:rsidR="00000000" w:rsidRDefault="00501E77">
                        <w:pPr>
                          <w:pStyle w:val="Normlnywebov"/>
                          <w:jc w:val="right"/>
                        </w:pPr>
                        <w:r>
                          <w:t>2,00</w:t>
                        </w:r>
                      </w:p>
                    </w:tc>
                    <w:tc>
                      <w:tcPr>
                        <w:tcW w:w="0" w:type="auto"/>
                        <w:tcMar>
                          <w:top w:w="15" w:type="dxa"/>
                          <w:left w:w="15" w:type="dxa"/>
                          <w:bottom w:w="15" w:type="dxa"/>
                          <w:right w:w="15" w:type="dxa"/>
                        </w:tcMar>
                        <w:vAlign w:val="center"/>
                        <w:hideMark/>
                      </w:tcPr>
                      <w:p w:rsidR="00000000" w:rsidRDefault="00501E77">
                        <w:pPr>
                          <w:pStyle w:val="Normlnywebov"/>
                          <w:jc w:val="right"/>
                        </w:pPr>
                        <w:r>
                          <w:t>25,00</w:t>
                        </w:r>
                      </w:p>
                    </w:tc>
                    <w:tc>
                      <w:tcPr>
                        <w:tcW w:w="0" w:type="auto"/>
                        <w:tcMar>
                          <w:top w:w="15" w:type="dxa"/>
                          <w:left w:w="15" w:type="dxa"/>
                          <w:bottom w:w="15" w:type="dxa"/>
                          <w:right w:w="15" w:type="dxa"/>
                        </w:tcMar>
                        <w:vAlign w:val="center"/>
                        <w:hideMark/>
                      </w:tcPr>
                      <w:p w:rsidR="00000000" w:rsidRDefault="00501E77">
                        <w:pPr>
                          <w:pStyle w:val="Normlnywebov"/>
                          <w:jc w:val="right"/>
                        </w:pPr>
                        <w:r>
                          <w:t>250,00</w:t>
                        </w:r>
                      </w:p>
                    </w:tc>
                    <w:tc>
                      <w:tcPr>
                        <w:tcW w:w="0" w:type="auto"/>
                        <w:tcMar>
                          <w:top w:w="15" w:type="dxa"/>
                          <w:left w:w="15" w:type="dxa"/>
                          <w:bottom w:w="15" w:type="dxa"/>
                          <w:right w:w="15" w:type="dxa"/>
                        </w:tcMar>
                        <w:vAlign w:val="center"/>
                        <w:hideMark/>
                      </w:tcPr>
                      <w:p w:rsidR="00000000" w:rsidRDefault="00501E77">
                        <w:pPr>
                          <w:pStyle w:val="Normlnywebov"/>
                          <w:jc w:val="right"/>
                        </w:pPr>
                        <w:r>
                          <w:t>12 500,00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Príprava certifikácie v hod</w:t>
                        </w:r>
                      </w:p>
                    </w:tc>
                    <w:tc>
                      <w:tcPr>
                        <w:tcW w:w="0" w:type="auto"/>
                        <w:tcMar>
                          <w:top w:w="15" w:type="dxa"/>
                          <w:left w:w="15" w:type="dxa"/>
                          <w:bottom w:w="15" w:type="dxa"/>
                          <w:right w:w="15" w:type="dxa"/>
                        </w:tcMar>
                        <w:vAlign w:val="center"/>
                        <w:hideMark/>
                      </w:tcPr>
                      <w:p w:rsidR="00000000" w:rsidRDefault="00501E77">
                        <w:pPr>
                          <w:pStyle w:val="Normlnywebov"/>
                          <w:jc w:val="right"/>
                        </w:pPr>
                        <w:r>
                          <w:t>4,00</w:t>
                        </w:r>
                      </w:p>
                    </w:tc>
                    <w:tc>
                      <w:tcPr>
                        <w:tcW w:w="0" w:type="auto"/>
                        <w:tcMar>
                          <w:top w:w="15" w:type="dxa"/>
                          <w:left w:w="15" w:type="dxa"/>
                          <w:bottom w:w="15" w:type="dxa"/>
                          <w:right w:w="15" w:type="dxa"/>
                        </w:tcMar>
                        <w:vAlign w:val="center"/>
                        <w:hideMark/>
                      </w:tcPr>
                      <w:p w:rsidR="00000000" w:rsidRDefault="00501E77">
                        <w:pPr>
                          <w:pStyle w:val="Normlnywebov"/>
                          <w:jc w:val="right"/>
                        </w:pPr>
                        <w:r>
                          <w:t>25,00</w:t>
                        </w:r>
                      </w:p>
                    </w:tc>
                    <w:tc>
                      <w:tcPr>
                        <w:tcW w:w="0" w:type="auto"/>
                        <w:tcMar>
                          <w:top w:w="15" w:type="dxa"/>
                          <w:left w:w="15" w:type="dxa"/>
                          <w:bottom w:w="15" w:type="dxa"/>
                          <w:right w:w="15" w:type="dxa"/>
                        </w:tcMar>
                        <w:vAlign w:val="center"/>
                        <w:hideMark/>
                      </w:tcPr>
                      <w:p w:rsidR="00000000" w:rsidRDefault="00501E77">
                        <w:pPr>
                          <w:pStyle w:val="Normlnywebov"/>
                          <w:jc w:val="right"/>
                        </w:pPr>
                        <w:r>
                          <w:t>250,00</w:t>
                        </w:r>
                      </w:p>
                    </w:tc>
                    <w:tc>
                      <w:tcPr>
                        <w:tcW w:w="0" w:type="auto"/>
                        <w:tcMar>
                          <w:top w:w="15" w:type="dxa"/>
                          <w:left w:w="15" w:type="dxa"/>
                          <w:bottom w:w="15" w:type="dxa"/>
                          <w:right w:w="15" w:type="dxa"/>
                        </w:tcMar>
                        <w:vAlign w:val="center"/>
                        <w:hideMark/>
                      </w:tcPr>
                      <w:p w:rsidR="00000000" w:rsidRDefault="00501E77">
                        <w:pPr>
                          <w:pStyle w:val="Normlnywebov"/>
                          <w:jc w:val="right"/>
                        </w:pPr>
                        <w:r>
                          <w:t>25 000,00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Administrácia certifikácie v hod</w:t>
                        </w:r>
                      </w:p>
                    </w:tc>
                    <w:tc>
                      <w:tcPr>
                        <w:tcW w:w="0" w:type="auto"/>
                        <w:tcMar>
                          <w:top w:w="15" w:type="dxa"/>
                          <w:left w:w="15" w:type="dxa"/>
                          <w:bottom w:w="15" w:type="dxa"/>
                          <w:right w:w="15" w:type="dxa"/>
                        </w:tcMar>
                        <w:vAlign w:val="center"/>
                        <w:hideMark/>
                      </w:tcPr>
                      <w:p w:rsidR="00000000" w:rsidRDefault="00501E77">
                        <w:pPr>
                          <w:pStyle w:val="Normlnywebov"/>
                          <w:jc w:val="right"/>
                        </w:pPr>
                        <w:r>
                          <w:t>2,00</w:t>
                        </w:r>
                      </w:p>
                    </w:tc>
                    <w:tc>
                      <w:tcPr>
                        <w:tcW w:w="0" w:type="auto"/>
                        <w:tcMar>
                          <w:top w:w="15" w:type="dxa"/>
                          <w:left w:w="15" w:type="dxa"/>
                          <w:bottom w:w="15" w:type="dxa"/>
                          <w:right w:w="15" w:type="dxa"/>
                        </w:tcMar>
                        <w:vAlign w:val="center"/>
                        <w:hideMark/>
                      </w:tcPr>
                      <w:p w:rsidR="00000000" w:rsidRDefault="00501E77">
                        <w:pPr>
                          <w:pStyle w:val="Normlnywebov"/>
                          <w:jc w:val="right"/>
                        </w:pPr>
                        <w:r>
                          <w:t>25,00</w:t>
                        </w:r>
                      </w:p>
                    </w:tc>
                    <w:tc>
                      <w:tcPr>
                        <w:tcW w:w="0" w:type="auto"/>
                        <w:tcMar>
                          <w:top w:w="15" w:type="dxa"/>
                          <w:left w:w="15" w:type="dxa"/>
                          <w:bottom w:w="15" w:type="dxa"/>
                          <w:right w:w="15" w:type="dxa"/>
                        </w:tcMar>
                        <w:vAlign w:val="center"/>
                        <w:hideMark/>
                      </w:tcPr>
                      <w:p w:rsidR="00000000" w:rsidRDefault="00501E77">
                        <w:pPr>
                          <w:pStyle w:val="Normlnywebov"/>
                          <w:jc w:val="right"/>
                        </w:pPr>
                        <w:r>
                          <w:t>250,00</w:t>
                        </w:r>
                      </w:p>
                    </w:tc>
                    <w:tc>
                      <w:tcPr>
                        <w:tcW w:w="0" w:type="auto"/>
                        <w:tcMar>
                          <w:top w:w="15" w:type="dxa"/>
                          <w:left w:w="15" w:type="dxa"/>
                          <w:bottom w:w="15" w:type="dxa"/>
                          <w:right w:w="15" w:type="dxa"/>
                        </w:tcMar>
                        <w:vAlign w:val="center"/>
                        <w:hideMark/>
                      </w:tcPr>
                      <w:p w:rsidR="00000000" w:rsidRDefault="00501E77">
                        <w:pPr>
                          <w:pStyle w:val="Normlnywebov"/>
                          <w:jc w:val="right"/>
                        </w:pPr>
                        <w:r>
                          <w:t>12 500,00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Administrácia účastníkov</w:t>
                        </w:r>
                      </w:p>
                    </w:tc>
                    <w:tc>
                      <w:tcPr>
                        <w:tcW w:w="0" w:type="auto"/>
                        <w:tcMar>
                          <w:top w:w="15" w:type="dxa"/>
                          <w:left w:w="15" w:type="dxa"/>
                          <w:bottom w:w="15" w:type="dxa"/>
                          <w:right w:w="15" w:type="dxa"/>
                        </w:tcMar>
                        <w:vAlign w:val="center"/>
                        <w:hideMark/>
                      </w:tcPr>
                      <w:p w:rsidR="00000000" w:rsidRDefault="00501E77">
                        <w:pPr>
                          <w:pStyle w:val="Normlnywebov"/>
                          <w:jc w:val="right"/>
                        </w:pPr>
                        <w:r>
                          <w:t>8,00</w:t>
                        </w:r>
                      </w:p>
                    </w:tc>
                    <w:tc>
                      <w:tcPr>
                        <w:tcW w:w="0" w:type="auto"/>
                        <w:tcMar>
                          <w:top w:w="15" w:type="dxa"/>
                          <w:left w:w="15" w:type="dxa"/>
                          <w:bottom w:w="15" w:type="dxa"/>
                          <w:right w:w="15" w:type="dxa"/>
                        </w:tcMar>
                        <w:vAlign w:val="center"/>
                        <w:hideMark/>
                      </w:tcPr>
                      <w:p w:rsidR="00000000" w:rsidRDefault="00501E77">
                        <w:pPr>
                          <w:pStyle w:val="Normlnywebov"/>
                          <w:jc w:val="right"/>
                        </w:pPr>
                        <w:r>
                          <w:t>25,00</w:t>
                        </w:r>
                      </w:p>
                    </w:tc>
                    <w:tc>
                      <w:tcPr>
                        <w:tcW w:w="0" w:type="auto"/>
                        <w:tcMar>
                          <w:top w:w="15" w:type="dxa"/>
                          <w:left w:w="15" w:type="dxa"/>
                          <w:bottom w:w="15" w:type="dxa"/>
                          <w:right w:w="15" w:type="dxa"/>
                        </w:tcMar>
                        <w:vAlign w:val="center"/>
                        <w:hideMark/>
                      </w:tcPr>
                      <w:p w:rsidR="00000000" w:rsidRDefault="00501E77">
                        <w:pPr>
                          <w:pStyle w:val="Normlnywebov"/>
                          <w:jc w:val="right"/>
                        </w:pPr>
                        <w:r>
                          <w:t>250,00</w:t>
                        </w:r>
                      </w:p>
                    </w:tc>
                    <w:tc>
                      <w:tcPr>
                        <w:tcW w:w="0" w:type="auto"/>
                        <w:tcMar>
                          <w:top w:w="15" w:type="dxa"/>
                          <w:left w:w="15" w:type="dxa"/>
                          <w:bottom w:w="15" w:type="dxa"/>
                          <w:right w:w="15" w:type="dxa"/>
                        </w:tcMar>
                        <w:vAlign w:val="center"/>
                        <w:hideMark/>
                      </w:tcPr>
                      <w:p w:rsidR="00000000" w:rsidRDefault="00501E77">
                        <w:pPr>
                          <w:pStyle w:val="Normlnywebov"/>
                          <w:jc w:val="right"/>
                        </w:pPr>
                        <w:r>
                          <w:t>50 000,00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Spolu za ČH</w:t>
                        </w:r>
                      </w:p>
                    </w:tc>
                    <w:tc>
                      <w:tcPr>
                        <w:tcW w:w="0" w:type="auto"/>
                        <w:tcMar>
                          <w:top w:w="15" w:type="dxa"/>
                          <w:left w:w="15" w:type="dxa"/>
                          <w:bottom w:w="15" w:type="dxa"/>
                          <w:right w:w="15" w:type="dxa"/>
                        </w:tcMar>
                        <w:vAlign w:val="center"/>
                        <w:hideMark/>
                      </w:tcPr>
                      <w:p w:rsidR="00000000" w:rsidRDefault="00501E77">
                        <w:pPr>
                          <w:pStyle w:val="Normlnywebov"/>
                          <w:jc w:val="right"/>
                        </w:pPr>
                        <w:r>
                          <w:t>16,00</w:t>
                        </w:r>
                      </w:p>
                    </w:tc>
                    <w:tc>
                      <w:tcPr>
                        <w:tcW w:w="0" w:type="auto"/>
                        <w:tcMar>
                          <w:top w:w="15" w:type="dxa"/>
                          <w:left w:w="15" w:type="dxa"/>
                          <w:bottom w:w="15" w:type="dxa"/>
                          <w:right w:w="15" w:type="dxa"/>
                        </w:tcMar>
                        <w:vAlign w:val="center"/>
                        <w:hideMark/>
                      </w:tcPr>
                      <w:p w:rsidR="00000000" w:rsidRDefault="00501E77">
                        <w:pPr>
                          <w:pStyle w:val="Normlnywebov"/>
                          <w:jc w:val="right"/>
                        </w:pPr>
                        <w:r>
                          <w:t>25,00</w:t>
                        </w:r>
                      </w:p>
                    </w:tc>
                    <w:tc>
                      <w:tcPr>
                        <w:tcW w:w="0" w:type="auto"/>
                        <w:tcMar>
                          <w:top w:w="15" w:type="dxa"/>
                          <w:left w:w="15" w:type="dxa"/>
                          <w:bottom w:w="15" w:type="dxa"/>
                          <w:right w:w="15" w:type="dxa"/>
                        </w:tcMar>
                        <w:vAlign w:val="center"/>
                        <w:hideMark/>
                      </w:tcPr>
                      <w:p w:rsidR="00000000" w:rsidRDefault="00501E77">
                        <w:pPr>
                          <w:pStyle w:val="Normlnywebov"/>
                          <w:jc w:val="right"/>
                        </w:pPr>
                        <w:r>
                          <w:t>250,00</w:t>
                        </w:r>
                      </w:p>
                    </w:tc>
                    <w:tc>
                      <w:tcPr>
                        <w:tcW w:w="0" w:type="auto"/>
                        <w:tcMar>
                          <w:top w:w="15" w:type="dxa"/>
                          <w:left w:w="15" w:type="dxa"/>
                          <w:bottom w:w="15" w:type="dxa"/>
                          <w:right w:w="15" w:type="dxa"/>
                        </w:tcMar>
                        <w:vAlign w:val="center"/>
                        <w:hideMark/>
                      </w:tcPr>
                      <w:p w:rsidR="00000000" w:rsidRDefault="00501E77">
                        <w:pPr>
                          <w:pStyle w:val="Normlnywebov"/>
                          <w:jc w:val="right"/>
                        </w:pPr>
                        <w:r>
                          <w:t>100 000,00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rPr>
                            <w:rStyle w:val="Zvraznenie"/>
                          </w:rPr>
                          <w:t>Technika</w:t>
                        </w: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Cena techniky a infraštruktúry/rok</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t>24 000,00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Údržba techniky a </w:t>
                        </w:r>
                        <w:r>
                          <w:t>infraštruktúry/rok</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t>25 000,00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Spolu za techniku ročne</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t>49 000,00</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Spolu</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rPr>
                            <w:rStyle w:val="Siln"/>
                          </w:rPr>
                          <w:t>149 000,00</w:t>
                        </w:r>
                        <w:r>
                          <w:t> </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rPr>
                            <w:rStyle w:val="Zvraznenie"/>
                          </w:rPr>
                          <w:t> </w:t>
                        </w:r>
                        <w:r>
                          <w:t> </w:t>
                        </w:r>
                      </w:p>
                    </w:tc>
                    <w:tc>
                      <w:tcPr>
                        <w:tcW w:w="0" w:type="auto"/>
                        <w:tcMar>
                          <w:top w:w="15" w:type="dxa"/>
                          <w:left w:w="15" w:type="dxa"/>
                          <w:bottom w:w="15" w:type="dxa"/>
                          <w:right w:w="15" w:type="dxa"/>
                        </w:tcMar>
                        <w:vAlign w:val="center"/>
                        <w:hideMark/>
                      </w:tcPr>
                      <w:p w:rsidR="00000000" w:rsidRDefault="00501E77">
                        <w:pPr>
                          <w:pStyle w:val="Normlnywebov"/>
                        </w:pPr>
                        <w:r>
                          <w:rPr>
                            <w:rStyle w:val="Zvraznenie"/>
                          </w:rPr>
                          <w:t> </w:t>
                        </w:r>
                        <w:r>
                          <w:t> </w:t>
                        </w:r>
                      </w:p>
                    </w:tc>
                    <w:tc>
                      <w:tcPr>
                        <w:tcW w:w="0" w:type="auto"/>
                        <w:tcMar>
                          <w:top w:w="15" w:type="dxa"/>
                          <w:left w:w="15" w:type="dxa"/>
                          <w:bottom w:w="15" w:type="dxa"/>
                          <w:right w:w="15" w:type="dxa"/>
                        </w:tcMar>
                        <w:vAlign w:val="center"/>
                        <w:hideMark/>
                      </w:tcPr>
                      <w:p w:rsidR="00000000" w:rsidRDefault="00501E77">
                        <w:pPr>
                          <w:pStyle w:val="Normlnywebov"/>
                        </w:pPr>
                        <w:r>
                          <w:rPr>
                            <w:rStyle w:val="Zvraznenie"/>
                          </w:rPr>
                          <w:t> </w:t>
                        </w:r>
                        <w:r>
                          <w:t> </w:t>
                        </w:r>
                      </w:p>
                    </w:tc>
                    <w:tc>
                      <w:tcPr>
                        <w:tcW w:w="0" w:type="auto"/>
                        <w:tcMar>
                          <w:top w:w="15" w:type="dxa"/>
                          <w:left w:w="15" w:type="dxa"/>
                          <w:bottom w:w="15" w:type="dxa"/>
                          <w:right w:w="15" w:type="dxa"/>
                        </w:tcMar>
                        <w:vAlign w:val="center"/>
                        <w:hideMark/>
                      </w:tcPr>
                      <w:p w:rsidR="00000000" w:rsidRDefault="00501E77">
                        <w:pPr>
                          <w:pStyle w:val="Normlnywebov"/>
                        </w:pPr>
                        <w:r>
                          <w:rPr>
                            <w:rStyle w:val="Zvraznenie"/>
                          </w:rPr>
                          <w:t>Predpokladaný počet certifikovaných ročne</w:t>
                        </w:r>
                        <w:r>
                          <w:t> </w:t>
                        </w:r>
                      </w:p>
                    </w:tc>
                    <w:tc>
                      <w:tcPr>
                        <w:tcW w:w="0" w:type="auto"/>
                        <w:tcMar>
                          <w:top w:w="15" w:type="dxa"/>
                          <w:left w:w="15" w:type="dxa"/>
                          <w:bottom w:w="15" w:type="dxa"/>
                          <w:right w:w="15" w:type="dxa"/>
                        </w:tcMar>
                        <w:vAlign w:val="center"/>
                        <w:hideMark/>
                      </w:tcPr>
                      <w:p w:rsidR="00000000" w:rsidRDefault="00501E77">
                        <w:pPr>
                          <w:pStyle w:val="Normlnywebov"/>
                        </w:pPr>
                        <w:r>
                          <w:rPr>
                            <w:rStyle w:val="Zvraznenie"/>
                          </w:rPr>
                          <w:t>Suma</w:t>
                        </w:r>
                        <w:r>
                          <w:t> </w:t>
                        </w:r>
                      </w:p>
                    </w:tc>
                  </w:tr>
                  <w:tr w:rsidR="00000000">
                    <w:trPr>
                      <w:divId w:val="1994789985"/>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Náklad certifikačného partnera na jedného certifikovaného</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t>1 000,00</w:t>
                        </w:r>
                      </w:p>
                    </w:tc>
                    <w:tc>
                      <w:tcPr>
                        <w:tcW w:w="0" w:type="auto"/>
                        <w:tcMar>
                          <w:top w:w="15" w:type="dxa"/>
                          <w:left w:w="15" w:type="dxa"/>
                          <w:bottom w:w="15" w:type="dxa"/>
                          <w:right w:w="15" w:type="dxa"/>
                        </w:tcMar>
                        <w:vAlign w:val="center"/>
                        <w:hideMark/>
                      </w:tcPr>
                      <w:p w:rsidR="00000000" w:rsidRDefault="00501E77">
                        <w:pPr>
                          <w:pStyle w:val="Normlnywebov"/>
                          <w:jc w:val="right"/>
                        </w:pPr>
                        <w:r>
                          <w:t>149</w:t>
                        </w:r>
                      </w:p>
                    </w:tc>
                  </w:tr>
                </w:tbl>
                <w:p w:rsidR="00000000" w:rsidRDefault="00501E77">
                  <w:pPr>
                    <w:pStyle w:val="Normlnywebov"/>
                  </w:pPr>
                  <w:r>
                    <w:t>Na úrovni centrálnej inštitúcie sú personálne náklady uvedené pre jednotlivé varianty osobitne. </w:t>
                  </w:r>
                </w:p>
                <w:p w:rsidR="00000000" w:rsidRDefault="00501E77">
                  <w:pPr>
                    <w:pStyle w:val="Normlnywebov"/>
                  </w:pPr>
                  <w:r>
                    <w:t>Cena za administratívny poplatok bude stanovená tak, aby neprevýšila takéto náklady + prevádzkové náklady centrálnej inštitúcie + prípadný materiál (listinné d</w:t>
                  </w:r>
                  <w:r>
                    <w:t>oručenie certifikátu a podobne). Jej výška neovplyvňuje návratnosť projektu v zmysle CBA a mala by byť stanovená po ukončení projektu tak, aby pokryla prevádzku centrálneho systému a minimálny predpokladaný počet certifikovaných u jednotlivých akreditovaný</w:t>
                  </w:r>
                  <w:r>
                    <w:t>ch certifikačných partnerov (min 1.000 - max 5.000 osôb/partner).</w:t>
                  </w:r>
                </w:p>
                <w:p w:rsidR="00000000" w:rsidRDefault="00501E77">
                  <w:pPr>
                    <w:pStyle w:val="Normlnywebov"/>
                  </w:pPr>
                  <w:r>
                    <w:t>  </w:t>
                  </w:r>
                </w:p>
                <w:p w:rsidR="00000000" w:rsidRDefault="00501E77">
                  <w:pPr>
                    <w:pStyle w:val="Normlnywebov"/>
                  </w:pPr>
                  <w:r>
                    <w:rPr>
                      <w:rStyle w:val="Siln"/>
                    </w:rPr>
                    <w:t>Variant E</w:t>
                  </w:r>
                  <w:r>
                    <w:t> </w:t>
                  </w:r>
                </w:p>
                <w:p w:rsidR="00000000" w:rsidRDefault="00501E77">
                  <w:pPr>
                    <w:pStyle w:val="Normlnywebov"/>
                  </w:pPr>
                  <w:r>
                    <w:t>Čistá súčasná ekonomická hodnota (ENPV) = </w:t>
                  </w:r>
                  <w:r>
                    <w:rPr>
                      <w:rStyle w:val="Siln"/>
                    </w:rPr>
                    <w:t>1 687 270</w:t>
                  </w:r>
                </w:p>
                <w:p w:rsidR="00000000" w:rsidRDefault="00501E77">
                  <w:pPr>
                    <w:pStyle w:val="Normlnywebov"/>
                  </w:pPr>
                  <w:r>
                    <w:t>Rok návratu investície (PBP) =</w:t>
                  </w:r>
                  <w:r>
                    <w:rPr>
                      <w:rStyle w:val="Siln"/>
                    </w:rPr>
                    <w:t xml:space="preserve"> t9</w:t>
                  </w:r>
                </w:p>
                <w:p w:rsidR="00000000" w:rsidRDefault="00501E77">
                  <w:pPr>
                    <w:pStyle w:val="Normlnywebov"/>
                  </w:pPr>
                </w:p>
                <w:p w:rsidR="00000000" w:rsidRDefault="00501E77">
                  <w:pPr>
                    <w:pStyle w:val="Normlnywebov"/>
                  </w:pPr>
                  <w:r>
                    <w:rPr>
                      <w:rStyle w:val="Siln"/>
                    </w:rPr>
                    <w:t>Náklady na ľudské zdroje centrálnej inštitúcie</w:t>
                  </w:r>
                  <w:r>
                    <w:t> </w:t>
                  </w:r>
                </w:p>
                <w:p w:rsidR="00000000" w:rsidRDefault="00501E77">
                  <w:pPr>
                    <w:pStyle w:val="Normlnywebov"/>
                  </w:pPr>
                  <w:r>
                    <w:t>V nasledujúcej tabuľke uvádzame výpočty,</w:t>
                  </w:r>
                  <w:r>
                    <w:t xml:space="preserve"> zahŕňajúce náklady na zamestnancov centrálnej inštitúcie a náklady spojené s certifikáciou u partnera</w:t>
                  </w:r>
                </w:p>
                <w:tbl>
                  <w:tblPr>
                    <w:tblW w:w="0" w:type="auto"/>
                    <w:tblCellSpacing w:w="15" w:type="dxa"/>
                    <w:tblCellMar>
                      <w:left w:w="0" w:type="dxa"/>
                      <w:right w:w="0" w:type="dxa"/>
                    </w:tblCellMar>
                    <w:tblLook w:val="04A0" w:firstRow="1" w:lastRow="0" w:firstColumn="1" w:lastColumn="0" w:noHBand="0" w:noVBand="1"/>
                  </w:tblPr>
                  <w:tblGrid>
                    <w:gridCol w:w="480"/>
                    <w:gridCol w:w="480"/>
                    <w:gridCol w:w="480"/>
                    <w:gridCol w:w="480"/>
                    <w:gridCol w:w="480"/>
                  </w:tblGrid>
                  <w:tr w:rsidR="00000000">
                    <w:trPr>
                      <w:divId w:val="1254168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i/>
                            <w:iCs/>
                          </w:rPr>
                          <w:t>Centrálna inštitúcia</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jc w:val="center"/>
                          <w:rPr>
                            <w:rFonts w:eastAsia="Times New Roman"/>
                            <w:b/>
                            <w:bCs/>
                          </w:rPr>
                        </w:pPr>
                        <w:r>
                          <w:rPr>
                            <w:rFonts w:eastAsia="Times New Roman"/>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r>
                  <w:tr w:rsidR="00000000">
                    <w:trPr>
                      <w:divId w:val="1254168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Činnosť</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Počet FTE</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Ročná mzda</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Ročné ostatné náklady</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Suma</w:t>
                        </w:r>
                        <w:r>
                          <w:rPr>
                            <w:b/>
                            <w:bCs/>
                          </w:rPr>
                          <w:t> </w:t>
                        </w:r>
                      </w:p>
                    </w:tc>
                  </w:tr>
                  <w:tr w:rsidR="00000000">
                    <w:trPr>
                      <w:divId w:val="1254168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Jazyková redakcia, aktualizácia a oprava chýb</w:t>
                        </w:r>
                      </w:p>
                    </w:tc>
                    <w:tc>
                      <w:tcPr>
                        <w:tcW w:w="0" w:type="auto"/>
                        <w:tcMar>
                          <w:top w:w="15" w:type="dxa"/>
                          <w:left w:w="15" w:type="dxa"/>
                          <w:bottom w:w="15" w:type="dxa"/>
                          <w:right w:w="15" w:type="dxa"/>
                        </w:tcMar>
                        <w:vAlign w:val="center"/>
                        <w:hideMark/>
                      </w:tcPr>
                      <w:p w:rsidR="00000000" w:rsidRDefault="00501E77">
                        <w:pPr>
                          <w:pStyle w:val="Normlnywebov"/>
                          <w:jc w:val="right"/>
                        </w:pPr>
                        <w:r>
                          <w:t>3,00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60 042,00</w:t>
                        </w:r>
                      </w:p>
                    </w:tc>
                  </w:tr>
                  <w:tr w:rsidR="00000000">
                    <w:trPr>
                      <w:divId w:val="1254168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Počet pracovníkov pre akreditáciu certifikačných pracovísk, riešenie reklamácií a kontrolnú činnosť</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254168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Personalistika a mzdy</w:t>
                        </w:r>
                      </w:p>
                    </w:tc>
                    <w:tc>
                      <w:tcPr>
                        <w:tcW w:w="0" w:type="auto"/>
                        <w:tcMar>
                          <w:top w:w="15" w:type="dxa"/>
                          <w:left w:w="15" w:type="dxa"/>
                          <w:bottom w:w="15" w:type="dxa"/>
                          <w:right w:w="15" w:type="dxa"/>
                        </w:tcMar>
                        <w:vAlign w:val="center"/>
                        <w:hideMark/>
                      </w:tcPr>
                      <w:p w:rsidR="00000000" w:rsidRDefault="00501E77">
                        <w:pPr>
                          <w:pStyle w:val="Normlnywebov"/>
                          <w:jc w:val="right"/>
                        </w:pPr>
                        <w:r>
                          <w:t>0,10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2 001,40</w:t>
                        </w:r>
                      </w:p>
                    </w:tc>
                  </w:tr>
                  <w:tr w:rsidR="00000000">
                    <w:trPr>
                      <w:divId w:val="1254168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Počet vedúcich pracovníkov (zahŕňa aj propagačnú činnosť)</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254168456"/>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Celkom</w:t>
                        </w:r>
                      </w:p>
                    </w:tc>
                    <w:tc>
                      <w:tcPr>
                        <w:tcW w:w="0" w:type="auto"/>
                        <w:tcMar>
                          <w:top w:w="15" w:type="dxa"/>
                          <w:left w:w="15" w:type="dxa"/>
                          <w:bottom w:w="15" w:type="dxa"/>
                          <w:right w:w="15" w:type="dxa"/>
                        </w:tcMar>
                        <w:vAlign w:val="center"/>
                        <w:hideMark/>
                      </w:tcPr>
                      <w:p w:rsidR="00000000" w:rsidRDefault="00501E77">
                        <w:pPr>
                          <w:pStyle w:val="Normlnywebov"/>
                          <w:jc w:val="right"/>
                        </w:pPr>
                        <w:r>
                          <w:t>5,10</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pPr>
                        <w:r>
                          <w:t> </w:t>
                        </w:r>
                      </w:p>
                    </w:tc>
                    <w:tc>
                      <w:tcPr>
                        <w:tcW w:w="0" w:type="auto"/>
                        <w:tcMar>
                          <w:top w:w="15" w:type="dxa"/>
                          <w:left w:w="15" w:type="dxa"/>
                          <w:bottom w:w="15" w:type="dxa"/>
                          <w:right w:w="15" w:type="dxa"/>
                        </w:tcMar>
                        <w:vAlign w:val="center"/>
                        <w:hideMark/>
                      </w:tcPr>
                      <w:p w:rsidR="00000000" w:rsidRDefault="00501E77">
                        <w:pPr>
                          <w:pStyle w:val="Normlnywebov"/>
                          <w:jc w:val="right"/>
                        </w:pPr>
                        <w:r>
                          <w:rPr>
                            <w:rStyle w:val="Siln"/>
                          </w:rPr>
                          <w:t>102 071,40</w:t>
                        </w:r>
                        <w:r>
                          <w:t> </w:t>
                        </w:r>
                      </w:p>
                    </w:tc>
                  </w:tr>
                </w:tbl>
                <w:p w:rsidR="00000000" w:rsidRDefault="00501E77">
                  <w:pPr>
                    <w:pStyle w:val="Normlnywebov"/>
                  </w:pPr>
                  <w:r>
                    <w:t>Položka „Ročné ostatné náklady“ zahŕňa prenájom priestorov, výpočtovú techniku, energie a podobne.</w:t>
                  </w:r>
                </w:p>
                <w:p w:rsidR="00000000" w:rsidRDefault="00501E77">
                  <w:pPr>
                    <w:pStyle w:val="Normlnywebov"/>
                  </w:pPr>
                  <w:r>
                    <w:rPr>
                      <w:rStyle w:val="Siln"/>
                    </w:rPr>
                    <w:t>Variant F</w:t>
                  </w:r>
                  <w:r>
                    <w:t> </w:t>
                  </w:r>
                </w:p>
                <w:p w:rsidR="00000000" w:rsidRDefault="00501E77">
                  <w:pPr>
                    <w:rPr>
                      <w:rFonts w:eastAsia="Times New Roman"/>
                    </w:rPr>
                  </w:pPr>
                </w:p>
                <w:p w:rsidR="00000000" w:rsidRDefault="00501E77">
                  <w:pPr>
                    <w:pStyle w:val="Normlnywebov"/>
                  </w:pPr>
                  <w:r>
                    <w:t>Čistá súčasná ekonomic</w:t>
                  </w:r>
                  <w:r>
                    <w:t xml:space="preserve">ká hodnota (ENPV) = - </w:t>
                  </w:r>
                  <w:r>
                    <w:rPr>
                      <w:rStyle w:val="Siln"/>
                    </w:rPr>
                    <w:t>389 785</w:t>
                  </w:r>
                </w:p>
                <w:p w:rsidR="00000000" w:rsidRDefault="00501E77">
                  <w:pPr>
                    <w:pStyle w:val="Normlnywebov"/>
                  </w:pPr>
                  <w:r>
                    <w:t>Rok návratu investície (PBP) =</w:t>
                  </w:r>
                  <w:r>
                    <w:rPr>
                      <w:rStyle w:val="Siln"/>
                    </w:rPr>
                    <w:t xml:space="preserve"> t11</w:t>
                  </w:r>
                </w:p>
                <w:p w:rsidR="00000000" w:rsidRDefault="00501E77">
                  <w:pPr>
                    <w:pStyle w:val="Normlnywebov"/>
                  </w:pPr>
                  <w:r>
                    <w:t>Variant F vykazuje dlhú návratnosť. Je to dané najmä faktom, že kvalitatívne prínosy boli zredukované na trhovú cenu certifikátu bez zreteľa na ostatné nenaceniteľné prínosy. Keďže takáto metrika bola zvolená aj pre preferovaný variant E, tak z pohľadu por</w:t>
                  </w:r>
                  <w:r>
                    <w:t>ovnania variantov takéto určenie postačuje.</w:t>
                  </w:r>
                </w:p>
                <w:p w:rsidR="00000000" w:rsidRDefault="00501E77">
                  <w:pPr>
                    <w:pStyle w:val="Normlnywebov"/>
                  </w:pPr>
                  <w:r>
                    <w:t>Variant F je postavený na centrálnej certifikácii centrálnym systémom. Obslužné procesy nie sú automatizované.</w:t>
                  </w:r>
                </w:p>
                <w:p w:rsidR="00000000" w:rsidRDefault="00501E77">
                  <w:pPr>
                    <w:pStyle w:val="Normlnywebov"/>
                  </w:pPr>
                </w:p>
                <w:p w:rsidR="00000000" w:rsidRDefault="00501E77">
                  <w:pPr>
                    <w:pStyle w:val="Normlnywebov"/>
                  </w:pPr>
                  <w:r>
                    <w:rPr>
                      <w:rStyle w:val="Siln"/>
                    </w:rPr>
                    <w:t>Náklady na ľudské zdroje a prevádzkové náklady z pohľadu nákladov na jedného certifikovaného</w:t>
                  </w:r>
                  <w:r>
                    <w:t> </w:t>
                  </w:r>
                </w:p>
                <w:p w:rsidR="00000000" w:rsidRDefault="00501E77">
                  <w:pPr>
                    <w:pStyle w:val="Normlnywebov"/>
                  </w:pPr>
                  <w:r>
                    <w:t>V nas</w:t>
                  </w:r>
                  <w:r>
                    <w:t>ledujúcej tabuľke uvádzame výpočty, zahŕňajúce náklady na zamestnancov centrálnej inštitúcie.</w:t>
                  </w:r>
                </w:p>
                <w:tbl>
                  <w:tblPr>
                    <w:tblW w:w="0" w:type="auto"/>
                    <w:tblCellSpacing w:w="15" w:type="dxa"/>
                    <w:tblCellMar>
                      <w:left w:w="0" w:type="dxa"/>
                      <w:right w:w="0" w:type="dxa"/>
                    </w:tblCellMar>
                    <w:tblLook w:val="04A0" w:firstRow="1" w:lastRow="0" w:firstColumn="1" w:lastColumn="0" w:noHBand="0" w:noVBand="1"/>
                  </w:tblPr>
                  <w:tblGrid>
                    <w:gridCol w:w="480"/>
                    <w:gridCol w:w="480"/>
                    <w:gridCol w:w="480"/>
                    <w:gridCol w:w="480"/>
                    <w:gridCol w:w="480"/>
                  </w:tblGrid>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i/>
                            <w:iCs/>
                          </w:rPr>
                          <w:t>Centrálna inštitúcia</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Siln"/>
                          </w:rPr>
                          <w:t> </w:t>
                        </w:r>
                        <w:r>
                          <w:rPr>
                            <w:b/>
                            <w:bCs/>
                          </w:rPr>
                          <w:t> </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Činnosť</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Počet FTE</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Ročná mzda</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Ročné ostatné náklady</w:t>
                        </w:r>
                        <w:r>
                          <w:rPr>
                            <w:b/>
                            <w:bCs/>
                          </w:rPr>
                          <w:t> </w:t>
                        </w:r>
                      </w:p>
                    </w:tc>
                    <w:tc>
                      <w:tcPr>
                        <w:tcW w:w="0" w:type="auto"/>
                        <w:tcMar>
                          <w:top w:w="15" w:type="dxa"/>
                          <w:left w:w="15" w:type="dxa"/>
                          <w:bottom w:w="15" w:type="dxa"/>
                          <w:right w:w="15" w:type="dxa"/>
                        </w:tcMar>
                        <w:vAlign w:val="center"/>
                        <w:hideMark/>
                      </w:tcPr>
                      <w:p w:rsidR="00000000" w:rsidRDefault="00501E77">
                        <w:pPr>
                          <w:pStyle w:val="Normlnywebov"/>
                          <w:jc w:val="center"/>
                          <w:rPr>
                            <w:b/>
                            <w:bCs/>
                          </w:rPr>
                        </w:pPr>
                        <w:r>
                          <w:rPr>
                            <w:rStyle w:val="Zvraznenie"/>
                            <w:b/>
                            <w:bCs/>
                          </w:rPr>
                          <w:t>Suma</w:t>
                        </w:r>
                        <w:r>
                          <w:rPr>
                            <w:b/>
                            <w:bCs/>
                          </w:rPr>
                          <w:t> </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Jazyková redakcia, aktualizácia a oprava chýb</w:t>
                        </w:r>
                      </w:p>
                    </w:tc>
                    <w:tc>
                      <w:tcPr>
                        <w:tcW w:w="0" w:type="auto"/>
                        <w:tcMar>
                          <w:top w:w="15" w:type="dxa"/>
                          <w:left w:w="15" w:type="dxa"/>
                          <w:bottom w:w="15" w:type="dxa"/>
                          <w:right w:w="15" w:type="dxa"/>
                        </w:tcMar>
                        <w:vAlign w:val="center"/>
                        <w:hideMark/>
                      </w:tcPr>
                      <w:p w:rsidR="00000000" w:rsidRDefault="00501E77">
                        <w:pPr>
                          <w:pStyle w:val="Normlnywebov"/>
                          <w:jc w:val="right"/>
                        </w:pPr>
                        <w:r>
                          <w:t>2,00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40 028,00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Administrácia testov (vrátane redundancie pre choroby, dovolenky a podobne)</w:t>
                        </w:r>
                      </w:p>
                    </w:tc>
                    <w:tc>
                      <w:tcPr>
                        <w:tcW w:w="0" w:type="auto"/>
                        <w:tcMar>
                          <w:top w:w="15" w:type="dxa"/>
                          <w:left w:w="15" w:type="dxa"/>
                          <w:bottom w:w="15" w:type="dxa"/>
                          <w:right w:w="15" w:type="dxa"/>
                        </w:tcMar>
                        <w:vAlign w:val="center"/>
                        <w:hideMark/>
                      </w:tcPr>
                      <w:p w:rsidR="00000000" w:rsidRDefault="00501E77">
                        <w:pPr>
                          <w:pStyle w:val="Normlnywebov"/>
                          <w:jc w:val="right"/>
                        </w:pPr>
                        <w:r>
                          <w:t>4,00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80 056,00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Spracovanie registratúry vyčlenenej pre agendu certifikácií</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Manažér a garant obnovy testov</w:t>
                        </w:r>
                        <w:r>
                          <w:t>acích položiek</w:t>
                        </w:r>
                      </w:p>
                    </w:tc>
                    <w:tc>
                      <w:tcPr>
                        <w:tcW w:w="0" w:type="auto"/>
                        <w:tcMar>
                          <w:top w:w="15" w:type="dxa"/>
                          <w:left w:w="15" w:type="dxa"/>
                          <w:bottom w:w="15" w:type="dxa"/>
                          <w:right w:w="15" w:type="dxa"/>
                        </w:tcMar>
                        <w:vAlign w:val="center"/>
                        <w:hideMark/>
                      </w:tcPr>
                      <w:p w:rsidR="00000000" w:rsidRDefault="00501E77">
                        <w:pPr>
                          <w:pStyle w:val="Normlnywebov"/>
                          <w:jc w:val="right"/>
                        </w:pPr>
                        <w:r>
                          <w:t>2,00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40 028,00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Akreditáciu certifikačných pracovísk, administrácia a zverejňovanie certifikačných testov</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Reklamácie a kontrolná činnosť</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Zúčtovanie poplatkov za kurzy (časť využitie centrálneho systému)  a iné finančné činnosti (okrem miezd)</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Propagačná činnosť</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Personalistika a mzdy</w:t>
                        </w:r>
                      </w:p>
                    </w:tc>
                    <w:tc>
                      <w:tcPr>
                        <w:tcW w:w="0" w:type="auto"/>
                        <w:tcMar>
                          <w:top w:w="15" w:type="dxa"/>
                          <w:left w:w="15" w:type="dxa"/>
                          <w:bottom w:w="15" w:type="dxa"/>
                          <w:right w:w="15" w:type="dxa"/>
                        </w:tcMar>
                        <w:vAlign w:val="center"/>
                        <w:hideMark/>
                      </w:tcPr>
                      <w:p w:rsidR="00000000" w:rsidRDefault="00501E77">
                        <w:pPr>
                          <w:pStyle w:val="Normlnywebov"/>
                          <w:jc w:val="right"/>
                        </w:pPr>
                        <w:r>
                          <w:t>0,50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10 007,00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Vedúci pracovníci</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t>Administrátor/asistent</w:t>
                        </w:r>
                      </w:p>
                    </w:tc>
                    <w:tc>
                      <w:tcPr>
                        <w:tcW w:w="0" w:type="auto"/>
                        <w:tcMar>
                          <w:top w:w="15" w:type="dxa"/>
                          <w:left w:w="15" w:type="dxa"/>
                          <w:bottom w:w="15" w:type="dxa"/>
                          <w:right w:w="15" w:type="dxa"/>
                        </w:tcMar>
                        <w:vAlign w:val="center"/>
                        <w:hideMark/>
                      </w:tcPr>
                      <w:p w:rsidR="00000000" w:rsidRDefault="00501E77">
                        <w:pPr>
                          <w:pStyle w:val="Normlnywebov"/>
                          <w:jc w:val="right"/>
                        </w:pPr>
                        <w:r>
                          <w:t>1,00</w:t>
                        </w:r>
                      </w:p>
                    </w:tc>
                    <w:tc>
                      <w:tcPr>
                        <w:tcW w:w="0" w:type="auto"/>
                        <w:tcMar>
                          <w:top w:w="15" w:type="dxa"/>
                          <w:left w:w="15" w:type="dxa"/>
                          <w:bottom w:w="15" w:type="dxa"/>
                          <w:right w:w="15" w:type="dxa"/>
                        </w:tcMar>
                        <w:vAlign w:val="center"/>
                        <w:hideMark/>
                      </w:tcPr>
                      <w:p w:rsidR="00000000" w:rsidRDefault="00501E77">
                        <w:pPr>
                          <w:pStyle w:val="Normlnywebov"/>
                          <w:jc w:val="right"/>
                        </w:pPr>
                        <w:r>
                          <w:t>17 160,00</w:t>
                        </w:r>
                      </w:p>
                    </w:tc>
                    <w:tc>
                      <w:tcPr>
                        <w:tcW w:w="0" w:type="auto"/>
                        <w:tcMar>
                          <w:top w:w="15" w:type="dxa"/>
                          <w:left w:w="15" w:type="dxa"/>
                          <w:bottom w:w="15" w:type="dxa"/>
                          <w:right w:w="15" w:type="dxa"/>
                        </w:tcMar>
                        <w:vAlign w:val="center"/>
                        <w:hideMark/>
                      </w:tcPr>
                      <w:p w:rsidR="00000000" w:rsidRDefault="00501E77">
                        <w:pPr>
                          <w:pStyle w:val="Normlnywebov"/>
                          <w:jc w:val="right"/>
                        </w:pPr>
                        <w:r>
                          <w:t>2 854,00</w:t>
                        </w:r>
                      </w:p>
                    </w:tc>
                    <w:tc>
                      <w:tcPr>
                        <w:tcW w:w="0" w:type="auto"/>
                        <w:tcMar>
                          <w:top w:w="15" w:type="dxa"/>
                          <w:left w:w="15" w:type="dxa"/>
                          <w:bottom w:w="15" w:type="dxa"/>
                          <w:right w:w="15" w:type="dxa"/>
                        </w:tcMar>
                        <w:vAlign w:val="center"/>
                        <w:hideMark/>
                      </w:tcPr>
                      <w:p w:rsidR="00000000" w:rsidRDefault="00501E77">
                        <w:pPr>
                          <w:pStyle w:val="Normlnywebov"/>
                          <w:jc w:val="right"/>
                        </w:pPr>
                        <w:r>
                          <w:t>20 014,00</w:t>
                        </w:r>
                      </w:p>
                    </w:tc>
                  </w:tr>
                  <w:tr w:rsidR="00000000">
                    <w:trPr>
                      <w:divId w:val="1597785548"/>
                      <w:cantSplit/>
                      <w:tblCellSpacing w:w="15" w:type="dxa"/>
                    </w:trPr>
                    <w:tc>
                      <w:tcPr>
                        <w:tcW w:w="0" w:type="auto"/>
                        <w:tcMar>
                          <w:top w:w="15" w:type="dxa"/>
                          <w:left w:w="15" w:type="dxa"/>
                          <w:bottom w:w="15" w:type="dxa"/>
                          <w:right w:w="15" w:type="dxa"/>
                        </w:tcMar>
                        <w:vAlign w:val="center"/>
                        <w:hideMark/>
                      </w:tcPr>
                      <w:p w:rsidR="00000000" w:rsidRDefault="00501E77">
                        <w:pPr>
                          <w:pStyle w:val="Normlnywebov"/>
                        </w:pPr>
                        <w:r>
                          <w:rPr>
                            <w:rStyle w:val="Siln"/>
                          </w:rPr>
                          <w:t>Personálne náklady spolu</w:t>
                        </w:r>
                        <w:r>
                          <w:t> </w:t>
                        </w:r>
                      </w:p>
                    </w:tc>
                    <w:tc>
                      <w:tcPr>
                        <w:tcW w:w="0" w:type="auto"/>
                        <w:tcMar>
                          <w:top w:w="15" w:type="dxa"/>
                          <w:left w:w="15" w:type="dxa"/>
                          <w:bottom w:w="15" w:type="dxa"/>
                          <w:right w:w="15" w:type="dxa"/>
                        </w:tcMar>
                        <w:vAlign w:val="center"/>
                        <w:hideMark/>
                      </w:tcPr>
                      <w:p w:rsidR="00000000" w:rsidRDefault="00501E77">
                        <w:pPr>
                          <w:pStyle w:val="Normlnywebov"/>
                        </w:pPr>
                        <w:r>
                          <w:rPr>
                            <w:rStyle w:val="Siln"/>
                          </w:rPr>
                          <w:t> </w:t>
                        </w:r>
                        <w:r>
                          <w:t> </w:t>
                        </w:r>
                      </w:p>
                    </w:tc>
                    <w:tc>
                      <w:tcPr>
                        <w:tcW w:w="0" w:type="auto"/>
                        <w:tcMar>
                          <w:top w:w="15" w:type="dxa"/>
                          <w:left w:w="15" w:type="dxa"/>
                          <w:bottom w:w="15" w:type="dxa"/>
                          <w:right w:w="15" w:type="dxa"/>
                        </w:tcMar>
                        <w:vAlign w:val="center"/>
                        <w:hideMark/>
                      </w:tcPr>
                      <w:p w:rsidR="00000000" w:rsidRDefault="00501E77">
                        <w:pPr>
                          <w:pStyle w:val="Normlnywebov"/>
                        </w:pPr>
                        <w:r>
                          <w:rPr>
                            <w:rStyle w:val="Siln"/>
                          </w:rPr>
                          <w:t> </w:t>
                        </w:r>
                        <w:r>
                          <w:t> </w:t>
                        </w:r>
                      </w:p>
                    </w:tc>
                    <w:tc>
                      <w:tcPr>
                        <w:tcW w:w="0" w:type="auto"/>
                        <w:tcMar>
                          <w:top w:w="15" w:type="dxa"/>
                          <w:left w:w="15" w:type="dxa"/>
                          <w:bottom w:w="15" w:type="dxa"/>
                          <w:right w:w="15" w:type="dxa"/>
                        </w:tcMar>
                        <w:vAlign w:val="center"/>
                        <w:hideMark/>
                      </w:tcPr>
                      <w:p w:rsidR="00000000" w:rsidRDefault="00501E77">
                        <w:pPr>
                          <w:pStyle w:val="Normlnywebov"/>
                        </w:pPr>
                        <w:r>
                          <w:rPr>
                            <w:rStyle w:val="Siln"/>
                          </w:rPr>
                          <w:t> </w:t>
                        </w:r>
                        <w:r>
                          <w:t> </w:t>
                        </w:r>
                      </w:p>
                    </w:tc>
                    <w:tc>
                      <w:tcPr>
                        <w:tcW w:w="0" w:type="auto"/>
                        <w:tcMar>
                          <w:top w:w="15" w:type="dxa"/>
                          <w:left w:w="15" w:type="dxa"/>
                          <w:bottom w:w="15" w:type="dxa"/>
                          <w:right w:w="15" w:type="dxa"/>
                        </w:tcMar>
                        <w:vAlign w:val="center"/>
                        <w:hideMark/>
                      </w:tcPr>
                      <w:p w:rsidR="00000000" w:rsidRDefault="00501E77">
                        <w:pPr>
                          <w:pStyle w:val="Normlnywebov"/>
                          <w:jc w:val="right"/>
                        </w:pPr>
                        <w:r>
                          <w:rPr>
                            <w:rStyle w:val="Siln"/>
                          </w:rPr>
                          <w:t>310 217,00</w:t>
                        </w:r>
                        <w:r>
                          <w:t> </w:t>
                        </w:r>
                      </w:p>
                    </w:tc>
                  </w:tr>
                </w:tbl>
                <w:p w:rsidR="00000000" w:rsidRDefault="00501E77">
                  <w:pPr>
                    <w:pStyle w:val="Normlnywebov"/>
                  </w:pPr>
                  <w:r>
                    <w:t> </w:t>
                  </w:r>
                </w:p>
                <w:p w:rsidR="00000000" w:rsidRDefault="00501E77">
                  <w:pPr>
                    <w:pStyle w:val="Normlnywebov"/>
                  </w:pPr>
                  <w:r>
                    <w:t> </w:t>
                  </w:r>
                  <w:r>
                    <w:rPr>
                      <w:rStyle w:val="Siln"/>
                    </w:rPr>
                    <w:t>Variant B</w:t>
                  </w:r>
                </w:p>
                <w:p w:rsidR="00000000" w:rsidRDefault="00501E77">
                  <w:pPr>
                    <w:pStyle w:val="Normlnywebov"/>
                  </w:pPr>
                  <w:r>
                    <w:t>Napriek tomu, že Variant B neprešiel KO kritériom pretože nie je financovateľný z OPII, na žiadosť Útvaru hodnoty za peniaze túto alternatívu zaraďujeme pre hrubé porovnanie. Z pohľadu ekonomickej návratnosti CBA je variant B totožný s variantom E. Tento v</w:t>
                  </w:r>
                  <w:r>
                    <w:t>ariant je financovaný zo súkromných zdrojov. Je preto predpoklad, že investor postaví svoj biznis model návratnosti na poplatkoch za certifikáciu, takže výška certifikácie bude pravdepodobne v kumulovanej výške spoločenskej hodnoty certifikácie a hodnotiac</w:t>
                  </w:r>
                  <w:r>
                    <w:t>eho testu (cca 300 €/certifikát pri predpokladanej návratnosti v 8. roku). 8 rok návratnosti investície môže byť z pohľadu investora príliš neskoro, čiže cena za certifikáciu môže byť ešte vyššia, na druhej strane tak vysoký poplatok znevýhodnený občan neb</w:t>
                  </w:r>
                  <w:r>
                    <w:t>ude schopný zaplatiť a preto predpokladáme, že tento systém nebude pre investora zaujímavý.</w:t>
                  </w:r>
                </w:p>
              </w:tc>
            </w:tr>
          </w:tbl>
          <w:p w:rsidR="00000000" w:rsidRDefault="00501E77">
            <w:pPr>
              <w:divId w:val="776027470"/>
              <w:rPr>
                <w:rFonts w:eastAsia="Times New Roman"/>
              </w:rPr>
            </w:pPr>
          </w:p>
          <w:p w:rsidR="00000000" w:rsidRDefault="00501E77">
            <w:pPr>
              <w:divId w:val="776027470"/>
              <w:rPr>
                <w:rFonts w:eastAsia="Times New Roman"/>
              </w:rPr>
            </w:pPr>
            <w:r>
              <w:rPr>
                <w:rFonts w:eastAsia="Times New Roman"/>
              </w:rPr>
              <w:pict>
                <v:rect id="_x0000_i1028" style="width:0;height:1.5pt" o:hralign="center" o:hrstd="t" o:hr="t" fillcolor="#a0a0a0" stroked="f"/>
              </w:pict>
            </w:r>
          </w:p>
          <w:p w:rsidR="00000000" w:rsidRDefault="00501E77">
            <w:pPr>
              <w:pStyle w:val="Textpoznmkypodiarou"/>
              <w:divId w:val="1142697052"/>
            </w:pPr>
            <w:bookmarkStart w:id="0" w:name="_ftn1"/>
            <w:bookmarkEnd w:id="0"/>
            <w:r>
              <w:rPr>
                <w:rStyle w:val="Odkaznapoznmkupodiarou"/>
                <w:rFonts w:ascii="Calibri" w:hAnsi="Calibri" w:cs="Calibri"/>
              </w:rPr>
              <w:t>[10]</w:t>
            </w:r>
            <w:r>
              <w:rPr>
                <w:rFonts w:ascii="Calibri" w:hAnsi="Calibri" w:cs="Calibri"/>
              </w:rPr>
              <w:t> </w:t>
            </w:r>
            <w:r>
              <w:rPr>
                <w:rFonts w:ascii="Calibri" w:hAnsi="Calibri" w:cs="Calibri"/>
                <w:sz w:val="16"/>
                <w:szCs w:val="16"/>
              </w:rPr>
              <w:t>Započítavajú sa kategórie “Individuals who have</w:t>
            </w:r>
            <w:r>
              <w:rPr>
                <w:rFonts w:ascii="Calibri" w:hAnsi="Calibri" w:cs="Calibri"/>
                <w:sz w:val="16"/>
                <w:szCs w:val="16"/>
              </w:rPr>
              <w:t xml:space="preserve"> obtained IT skills through training courses and adult education centres, on own initiative”, “Individuals who have obtained IT skills through training courses and adult education centres, on demand of employer”.</w:t>
            </w:r>
            <w:r>
              <w:rPr>
                <w:rFonts w:ascii="Calibri" w:hAnsi="Calibri" w:cs="Calibri"/>
              </w:rPr>
              <w:t> </w:t>
            </w:r>
          </w:p>
          <w:p w:rsidR="00000000" w:rsidRDefault="00501E77">
            <w:pPr>
              <w:pStyle w:val="Textpoznmkypodiarou"/>
              <w:divId w:val="1369258460"/>
            </w:pPr>
            <w:bookmarkStart w:id="1" w:name="_ftn2"/>
            <w:bookmarkEnd w:id="1"/>
            <w:r>
              <w:rPr>
                <w:rStyle w:val="Odkaznapoznmkupodiarou"/>
              </w:rPr>
              <w:t>[11]</w:t>
            </w:r>
            <w:r>
              <w:t> </w:t>
            </w:r>
            <w:r>
              <w:rPr>
                <w:rFonts w:ascii="Calibri" w:hAnsi="Calibri" w:cs="Calibri"/>
                <w:sz w:val="16"/>
                <w:szCs w:val="16"/>
              </w:rPr>
              <w:t>http://datacube.statistics.sk/#!/view/sk/VBD_SLOVSTAT/om2023rs/Vekov%C3%A9%20zlo%C5%BEenie%20obyvate%C4%BEstva%20SR%20pod%C4%</w:t>
            </w:r>
            <w:r>
              <w:rPr>
                <w:rFonts w:ascii="Calibri" w:hAnsi="Calibri" w:cs="Calibri"/>
                <w:sz w:val="16"/>
                <w:szCs w:val="16"/>
              </w:rPr>
              <w:t>BEa%20pohlavia%20a%205-ro%C4%8Dn%C3%BDch%20vekov%C3%BDch%20skup%C3%ADn%20%5Bom2023rs%5D</w:t>
            </w:r>
          </w:p>
          <w:p w:rsidR="00000000" w:rsidRDefault="00501E77">
            <w:pPr>
              <w:pStyle w:val="Textpoznmkypodiarou"/>
              <w:divId w:val="1207253114"/>
            </w:pPr>
            <w:bookmarkStart w:id="2" w:name="_ftn3"/>
            <w:bookmarkEnd w:id="2"/>
            <w:r>
              <w:rPr>
                <w:rStyle w:val="Odkaznapoznmkupodiarou"/>
                <w:rFonts w:ascii="Calibri" w:hAnsi="Calibri" w:cs="Calibri"/>
              </w:rPr>
              <w:t>[12]</w:t>
            </w:r>
            <w:r>
              <w:rPr>
                <w:rFonts w:ascii="Calibri" w:hAnsi="Calibri" w:cs="Calibri"/>
              </w:rPr>
              <w:t> </w:t>
            </w:r>
            <w:r>
              <w:rPr>
                <w:rFonts w:ascii="Calibri" w:hAnsi="Calibri" w:cs="Calibri"/>
                <w:sz w:val="16"/>
                <w:szCs w:val="16"/>
              </w:rPr>
              <w:t>Započítavajú sa kategórie “Individuals who have obtained IT skills through training courses and adult education centres, on own initiative”, “Individuals who have obtained IT skills through training courses and adult education centres, on demand of em</w:t>
            </w:r>
            <w:r>
              <w:rPr>
                <w:rFonts w:ascii="Calibri" w:hAnsi="Calibri" w:cs="Calibri"/>
                <w:sz w:val="16"/>
                <w:szCs w:val="16"/>
              </w:rPr>
              <w:t>ployer” “Individuals who have obtained IT skills through self-study using books, cd-roms, etc.”.</w:t>
            </w:r>
            <w:r>
              <w:rPr>
                <w:rFonts w:ascii="Calibri" w:hAnsi="Calibri" w:cs="Calibri"/>
              </w:rPr>
              <w:t> </w:t>
            </w:r>
          </w:p>
        </w:tc>
        <w:bookmarkStart w:id="3" w:name="_GoBack"/>
        <w:bookmarkEnd w:id="3"/>
      </w:tr>
      <w:tr w:rsidR="00000000">
        <w:trPr>
          <w:divId w:val="402534904"/>
          <w:cantSplit/>
          <w:tblCellSpacing w:w="15" w:type="dxa"/>
        </w:trPr>
        <w:tc>
          <w:tcPr>
            <w:tcW w:w="0" w:type="auto"/>
            <w:vAlign w:val="center"/>
            <w:hideMark/>
          </w:tcPr>
          <w:p w:rsidR="00000000" w:rsidRDefault="00501E77">
            <w:pPr>
              <w:pStyle w:val="Normlnywebov"/>
            </w:pPr>
            <w:r>
              <w:rPr>
                <w:rStyle w:val="Zvraznenie"/>
              </w:rPr>
              <w:t>Priestor pre sumárny obrázok / graf / diagram, nepovinná informácia.</w:t>
            </w:r>
          </w:p>
          <w:p w:rsidR="00000000" w:rsidRDefault="00501E77">
            <w:pPr>
              <w:pStyle w:val="Normlnywebov"/>
            </w:pPr>
            <w:r>
              <w:t> </w:t>
            </w:r>
          </w:p>
        </w:tc>
      </w:tr>
      <w:tr w:rsidR="00000000">
        <w:trPr>
          <w:divId w:val="402534904"/>
          <w:cantSplit/>
          <w:tblCellSpacing w:w="15" w:type="dxa"/>
        </w:trPr>
        <w:tc>
          <w:tcPr>
            <w:tcW w:w="0" w:type="auto"/>
            <w:vAlign w:val="center"/>
            <w:hideMark/>
          </w:tcPr>
          <w:p w:rsidR="00000000" w:rsidRDefault="00501E77">
            <w:pPr>
              <w:pStyle w:val="Normlnywebov"/>
            </w:pPr>
            <w:r>
              <w:rPr>
                <w:rStyle w:val="Zvraznenie"/>
              </w:rPr>
              <w:t>Ďalšie informácie</w:t>
            </w:r>
            <w:r>
              <w:t xml:space="preserve"> </w:t>
            </w:r>
            <w:r>
              <w:br/>
            </w:r>
            <w:r>
              <w:rPr>
                <w:rStyle w:val="Zvraznenie"/>
              </w:rPr>
              <w:t>(Max. 1600 znakov, pre detailný popis je potrebné využiť prí</w:t>
            </w:r>
            <w:r>
              <w:rPr>
                <w:rStyle w:val="Zvraznenie"/>
              </w:rPr>
              <w:t>lohy)</w:t>
            </w:r>
          </w:p>
          <w:p w:rsidR="00000000" w:rsidRDefault="00501E77">
            <w:pPr>
              <w:pStyle w:val="Normlnywebov"/>
            </w:pPr>
            <w:r>
              <w:t> </w:t>
            </w:r>
          </w:p>
        </w:tc>
      </w:tr>
      <w:tr w:rsidR="00000000">
        <w:trPr>
          <w:divId w:val="402534904"/>
          <w:cantSplit/>
          <w:tblCellSpacing w:w="15" w:type="dxa"/>
        </w:trPr>
        <w:tc>
          <w:tcPr>
            <w:tcW w:w="0" w:type="auto"/>
            <w:vAlign w:val="center"/>
            <w:hideMark/>
          </w:tcPr>
          <w:p w:rsidR="00000000" w:rsidRDefault="00501E77">
            <w:pPr>
              <w:pStyle w:val="Normlnywebov"/>
            </w:pPr>
            <w:r>
              <w:rPr>
                <w:rStyle w:val="inline-comment-marker"/>
                <w:b/>
                <w:bCs/>
              </w:rPr>
              <w:t>Rizik</w:t>
            </w:r>
            <w:r>
              <w:rPr>
                <w:rStyle w:val="inline-comment-marker"/>
                <w:b/>
                <w:bCs/>
              </w:rPr>
              <w:t>á</w:t>
            </w:r>
          </w:p>
          <w:p w:rsidR="00000000" w:rsidRDefault="00501E77">
            <w:pPr>
              <w:pStyle w:val="Normlnywebov"/>
            </w:pPr>
            <w:r>
              <w:sym w:font="Symbol" w:char="F0A7"/>
            </w:r>
            <w:r>
              <w:t xml:space="preserve"> Nepodarí sa dosiahnuť preukázateľné úspory podľa plánu</w:t>
            </w:r>
            <w:r>
              <w:br/>
            </w:r>
            <w:r>
              <w:sym w:font="Symbol" w:char="F0A7"/>
            </w:r>
            <w:r>
              <w:t xml:space="preserve"> Zmeny obstarávacích cien v čase realizácie projektu</w:t>
            </w:r>
            <w:r>
              <w:br/>
            </w:r>
            <w:r>
              <w:sym w:font="Symbol" w:char="F0A7"/>
            </w:r>
            <w:r>
              <w:t xml:space="preserve"> Nereálne stanovený rozpočet na projekt</w:t>
            </w:r>
          </w:p>
          <w:p w:rsidR="00000000" w:rsidRDefault="00501E77">
            <w:pPr>
              <w:pStyle w:val="Normlnywebov"/>
            </w:pPr>
            <w:r>
              <w:rPr>
                <w:rStyle w:val="Siln"/>
              </w:rPr>
              <w:t>Spresnenie identifikovaných rizík:</w:t>
            </w:r>
            <w:r>
              <w:t xml:space="preserve"> </w:t>
            </w:r>
            <w:r>
              <w:br/>
              <w:t>RE_01, RE_04, RE_05</w:t>
            </w:r>
          </w:p>
        </w:tc>
      </w:tr>
      <w:tr w:rsidR="00000000">
        <w:trPr>
          <w:divId w:val="402534904"/>
          <w:cantSplit/>
          <w:tblCellSpacing w:w="15" w:type="dxa"/>
        </w:trPr>
        <w:tc>
          <w:tcPr>
            <w:tcW w:w="0" w:type="auto"/>
            <w:vAlign w:val="center"/>
            <w:hideMark/>
          </w:tcPr>
          <w:p w:rsidR="00000000" w:rsidRDefault="00501E77">
            <w:pPr>
              <w:pStyle w:val="Normlnywebov"/>
            </w:pPr>
            <w:r>
              <w:rPr>
                <w:rStyle w:val="Siln"/>
              </w:rPr>
              <w:t>Prílohy</w:t>
            </w:r>
          </w:p>
        </w:tc>
      </w:tr>
      <w:tr w:rsidR="00000000">
        <w:trPr>
          <w:divId w:val="402534904"/>
          <w:cantSplit/>
          <w:tblCellSpacing w:w="15" w:type="dxa"/>
        </w:trPr>
        <w:tc>
          <w:tcPr>
            <w:tcW w:w="0" w:type="auto"/>
            <w:vAlign w:val="center"/>
            <w:hideMark/>
          </w:tcPr>
          <w:p w:rsidR="00000000" w:rsidRDefault="00501E77">
            <w:pPr>
              <w:pStyle w:val="Normlnywebov"/>
            </w:pPr>
            <w:r>
              <w:rPr>
                <w:rStyle w:val="Zvraznenie"/>
              </w:rPr>
              <w:t>Zoznam príloh. Prílohy obsahujú informácie v štruktúrovanej forme.</w:t>
            </w:r>
          </w:p>
          <w:p w:rsidR="00000000" w:rsidRDefault="00501E77">
            <w:pPr>
              <w:pStyle w:val="Normlnywebov"/>
            </w:pPr>
            <w:r>
              <w:sym w:font="Symbol" w:char="F0A7"/>
            </w:r>
            <w:r>
              <w:t xml:space="preserve"> Tabuľka 2 Riziká</w:t>
            </w:r>
            <w:r>
              <w:br/>
            </w:r>
            <w:r>
              <w:sym w:font="Symbol" w:char="F0A7"/>
            </w:r>
            <w:r>
              <w:t xml:space="preserve"> Tabuľka 25 Podmienky udržateľnosti </w:t>
            </w:r>
            <w:r>
              <w:br/>
            </w:r>
            <w:r>
              <w:sym w:font="Symbol" w:char="F0A7"/>
            </w:r>
            <w:r>
              <w:t xml:space="preserve"> Tabuľka 26 Kritické premenné</w:t>
            </w:r>
          </w:p>
        </w:tc>
      </w:tr>
    </w:tbl>
    <w:p w:rsidR="00000000" w:rsidRDefault="00501E77">
      <w:pPr>
        <w:pStyle w:val="Normlnywebov"/>
      </w:pPr>
      <w:r>
        <w:t> </w:t>
      </w:r>
    </w:p>
    <w:p w:rsidR="00000000" w:rsidRDefault="00501E77">
      <w:pPr>
        <w:pStyle w:val="Normlnywebov"/>
        <w:ind w:left="450"/>
      </w:pPr>
      <w:r>
        <w:t>Cieľovou skupinou tohto projektu sú všetci občania SR starší ako 15 rokov, ktorých počet bol podľa údajov Štatistického úradu SR k 31.12.2017 – 4 593 419,00 obyvateľov. Špecifickou cieľovou skupinou, na ktorú sa chce projekt zamerať sú znevýhodnené skupiny</w:t>
      </w:r>
      <w:r>
        <w:t xml:space="preserve"> obyvateľstva. Podľa štatistických údajov Výskumného demografického centra Infostat</w:t>
      </w:r>
      <w:hyperlink r:id="rId55" w:history="1">
        <w:r>
          <w:rPr>
            <w:rStyle w:val="Hypertextovprepojenie"/>
            <w:vertAlign w:val="superscript"/>
          </w:rPr>
          <w:t>[9]</w:t>
        </w:r>
      </w:hyperlink>
      <w:r>
        <w:t xml:space="preserve"> z roku 2016 bol počet znevýhodnených osôb v kategórii 18-74 rokov s niž</w:t>
      </w:r>
      <w:r>
        <w:t>ším vzdelaním 1.679 890 a k tomu v kategórií 55 - 74 so stredným a vyšším vzdelaním 586 049 osôb, spolu sa jedná o približne 2,3 mil osôb. Vzhľadom na kapacitné možnosti iniciálnych certifikačných partnerov do výpočtu CBA vstupuje len zlomok celkovej cieľo</w:t>
      </w:r>
      <w:r>
        <w:t>vej skupiny, ekonomická analýza však obsahuje prahové hodnoty, ktoré je možné dosiahnuť na základe prepočtov využívajúcich dostupné údaje Eurostatu. Prepočty týchto prahových hodnôt preukazujú, že dosiahnutie plánovaných hodnôt vydaných certifikátov a real</w:t>
      </w:r>
      <w:r>
        <w:t>izovaných self-testov je realistické.</w:t>
      </w:r>
    </w:p>
    <w:p w:rsidR="00000000" w:rsidRDefault="00501E77">
      <w:pPr>
        <w:pStyle w:val="Normlnywebov"/>
        <w:ind w:left="450"/>
      </w:pPr>
      <w:r>
        <w:t> </w:t>
      </w:r>
    </w:p>
    <w:p w:rsidR="00000000" w:rsidRDefault="00501E77">
      <w:pPr>
        <w:pStyle w:val="Normlnywebov"/>
      </w:pPr>
      <w:r>
        <w:rPr>
          <w:rStyle w:val="Siln"/>
        </w:rPr>
        <w:t>Prínos projektu k splneniu cieľov strategického dokumentu pre oblasť rastu digitálnych služieb a oblasť infraštruktúry prístupovej siete novej generácie a špecifických cieľov 7.4 a  7.6 operačného programu Integrovan</w:t>
      </w:r>
      <w:r>
        <w:rPr>
          <w:rStyle w:val="Siln"/>
        </w:rPr>
        <w:t>á infraštruktúra.</w:t>
      </w:r>
      <w:r>
        <w:t> </w:t>
      </w:r>
    </w:p>
    <w:p w:rsidR="00000000" w:rsidRDefault="00501E77">
      <w:pPr>
        <w:pStyle w:val="Normlnywebov"/>
      </w:pPr>
      <w:r>
        <w:t> </w:t>
      </w:r>
    </w:p>
    <w:p w:rsidR="00000000" w:rsidRDefault="00501E77">
      <w:pPr>
        <w:pStyle w:val="Normlnywebov"/>
      </w:pPr>
      <w:r>
        <w:t> </w:t>
      </w:r>
    </w:p>
    <w:tbl>
      <w:tblPr>
        <w:tblW w:w="20175" w:type="dxa"/>
        <w:tblCellMar>
          <w:left w:w="0" w:type="dxa"/>
          <w:right w:w="0" w:type="dxa"/>
        </w:tblCellMar>
        <w:tblLook w:val="04A0" w:firstRow="1" w:lastRow="0" w:firstColumn="1" w:lastColumn="0" w:noHBand="0" w:noVBand="1"/>
      </w:tblPr>
      <w:tblGrid>
        <w:gridCol w:w="2520"/>
        <w:gridCol w:w="17660"/>
        <w:gridCol w:w="5260"/>
        <w:gridCol w:w="4780"/>
      </w:tblGrid>
      <w:tr w:rsidR="00000000">
        <w:trPr>
          <w:divId w:val="1559777047"/>
          <w:cantSplit/>
          <w:trHeight w:val="315"/>
        </w:trPr>
        <w:tc>
          <w:tcPr>
            <w:tcW w:w="2520" w:type="dxa"/>
            <w:vAlign w:val="center"/>
            <w:hideMark/>
          </w:tcPr>
          <w:p w:rsidR="00000000" w:rsidRDefault="00501E77">
            <w:pPr>
              <w:rPr>
                <w:rFonts w:eastAsia="Times New Roman"/>
              </w:rPr>
            </w:pPr>
            <w:r>
              <w:rPr>
                <w:rFonts w:eastAsia="Times New Roman"/>
              </w:rPr>
              <w:t>Aktér </w:t>
            </w:r>
          </w:p>
        </w:tc>
        <w:tc>
          <w:tcPr>
            <w:tcW w:w="7620" w:type="dxa"/>
            <w:tcBorders>
              <w:left w:val="nil"/>
            </w:tcBorders>
            <w:vAlign w:val="center"/>
            <w:hideMark/>
          </w:tcPr>
          <w:p w:rsidR="00000000" w:rsidRDefault="00501E77">
            <w:pPr>
              <w:rPr>
                <w:rFonts w:eastAsia="Times New Roman"/>
              </w:rPr>
            </w:pPr>
            <w:r>
              <w:rPr>
                <w:rFonts w:eastAsia="Times New Roman"/>
              </w:rPr>
              <w:t>Cieľ </w:t>
            </w:r>
          </w:p>
        </w:tc>
        <w:tc>
          <w:tcPr>
            <w:tcW w:w="5260" w:type="dxa"/>
            <w:tcBorders>
              <w:left w:val="nil"/>
            </w:tcBorders>
            <w:vAlign w:val="center"/>
            <w:hideMark/>
          </w:tcPr>
          <w:p w:rsidR="00000000" w:rsidRDefault="00501E77">
            <w:pPr>
              <w:rPr>
                <w:rFonts w:eastAsia="Times New Roman"/>
              </w:rPr>
            </w:pPr>
            <w:r>
              <w:rPr>
                <w:rFonts w:eastAsia="Times New Roman"/>
              </w:rPr>
              <w:t>Požiadavka </w:t>
            </w:r>
          </w:p>
        </w:tc>
        <w:tc>
          <w:tcPr>
            <w:tcW w:w="4780" w:type="dxa"/>
            <w:tcBorders>
              <w:left w:val="nil"/>
            </w:tcBorders>
            <w:vAlign w:val="center"/>
            <w:hideMark/>
          </w:tcPr>
          <w:p w:rsidR="00000000" w:rsidRDefault="00501E77">
            <w:pPr>
              <w:rPr>
                <w:rFonts w:eastAsia="Times New Roman"/>
              </w:rPr>
            </w:pPr>
            <w:r>
              <w:rPr>
                <w:rFonts w:eastAsia="Times New Roman"/>
              </w:rPr>
              <w:t>Obmedzenie </w:t>
            </w:r>
          </w:p>
        </w:tc>
      </w:tr>
      <w:tr w:rsidR="00000000">
        <w:trPr>
          <w:divId w:val="1559777047"/>
          <w:cantSplit/>
          <w:trHeight w:val="945"/>
        </w:trPr>
        <w:tc>
          <w:tcPr>
            <w:tcW w:w="2520" w:type="dxa"/>
            <w:tcBorders>
              <w:top w:val="nil"/>
            </w:tcBorders>
            <w:vAlign w:val="center"/>
            <w:hideMark/>
          </w:tcPr>
          <w:p w:rsidR="00000000" w:rsidRDefault="00501E77">
            <w:pPr>
              <w:rPr>
                <w:rFonts w:eastAsia="Times New Roman"/>
              </w:rPr>
            </w:pPr>
            <w:r>
              <w:rPr>
                <w:rFonts w:eastAsia="Times New Roman"/>
              </w:rPr>
              <w:t>ÚPPVII SR</w:t>
            </w:r>
          </w:p>
        </w:tc>
        <w:tc>
          <w:tcPr>
            <w:tcW w:w="7620" w:type="dxa"/>
            <w:tcBorders>
              <w:top w:val="nil"/>
              <w:left w:val="nil"/>
            </w:tcBorders>
            <w:vAlign w:val="center"/>
            <w:hideMark/>
          </w:tcPr>
          <w:p w:rsidR="00000000" w:rsidRDefault="00501E77">
            <w:pPr>
              <w:rPr>
                <w:rFonts w:eastAsia="Times New Roman"/>
              </w:rPr>
            </w:pPr>
            <w:r>
              <w:rPr>
                <w:rFonts w:eastAsia="Times New Roman"/>
              </w:rPr>
              <w:t>Zaviesť efektívne nástroje (elekronické služby) pre zvýšenie zapojenie sa občanov a špecificky znevýhodnených skupín obyvateľstva do digitálneho trhu</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vybudovanie IS DEI a jeho naplnenie testovacími položkami, ako nástrojov pre preukázanie digitálnych kompetencií</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559777047"/>
          <w:cantSplit/>
          <w:trHeight w:val="189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4" w:space="0" w:color="000000"/>
            </w:tcBorders>
            <w:vAlign w:val="center"/>
            <w:hideMark/>
          </w:tcPr>
          <w:p w:rsidR="00000000" w:rsidRDefault="00501E77">
            <w:pPr>
              <w:rPr>
                <w:rFonts w:eastAsia="Times New Roman"/>
              </w:rPr>
            </w:pPr>
            <w:r>
              <w:rPr>
                <w:rFonts w:eastAsia="Times New Roman"/>
              </w:rPr>
              <w:t>Výstupový KPI priamo súv</w:t>
            </w:r>
            <w:r>
              <w:rPr>
                <w:rFonts w:eastAsia="Times New Roman"/>
              </w:rPr>
              <w:t>isiaci s aktivitami projektu - 4 koncové elektronické služby, ktoré budú využívané občanmi (vrátane znevýhodnených skupín)</w:t>
            </w:r>
          </w:p>
        </w:tc>
      </w:tr>
      <w:tr w:rsidR="00000000">
        <w:trPr>
          <w:divId w:val="1559777047"/>
          <w:cantSplit/>
          <w:trHeight w:val="2205"/>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4" w:space="0" w:color="000000"/>
            </w:tcBorders>
            <w:vAlign w:val="center"/>
            <w:hideMark/>
          </w:tcPr>
          <w:p w:rsidR="00000000" w:rsidRDefault="00501E77">
            <w:pPr>
              <w:rPr>
                <w:rFonts w:eastAsia="Times New Roman"/>
              </w:rPr>
            </w:pPr>
            <w:r>
              <w:rPr>
                <w:rFonts w:eastAsia="Times New Roman"/>
              </w:rPr>
              <w:t>Výsledkový KPI podliehajúci aj externým faktorom - Percento jednotlivcov patriacich do znevýhodnenej skupiny, ktorí vďaka proj</w:t>
            </w:r>
            <w:r>
              <w:rPr>
                <w:rFonts w:eastAsia="Times New Roman"/>
              </w:rPr>
              <w:t>ektu využívajú elektronické služby eGovernmentu na úrovni 10 %</w:t>
            </w:r>
          </w:p>
        </w:tc>
      </w:tr>
      <w:tr w:rsidR="00000000">
        <w:trPr>
          <w:divId w:val="1559777047"/>
          <w:cantSplit/>
          <w:trHeight w:val="315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4" w:space="0" w:color="000000"/>
            </w:tcBorders>
            <w:vAlign w:val="center"/>
            <w:hideMark/>
          </w:tcPr>
          <w:p w:rsidR="00000000" w:rsidRDefault="00501E77">
            <w:pPr>
              <w:rPr>
                <w:rFonts w:eastAsia="Times New Roman"/>
              </w:rPr>
            </w:pPr>
            <w:r>
              <w:rPr>
                <w:rFonts w:eastAsia="Times New Roman"/>
              </w:rPr>
              <w:t>Výsledkový KPI podliehajúci aj externým faktorom - Percento znevýhodnených jednotlivcov, ktorí sú vďaka projektu motivovaní využívať internet na úrovni 10 % (celkovo za program sa očakáv</w:t>
            </w:r>
            <w:r>
              <w:rPr>
                <w:rFonts w:eastAsia="Times New Roman"/>
              </w:rPr>
              <w:t>a využívanie internetu znevýhodnenými skupiami na úrovni 70%)</w:t>
            </w:r>
          </w:p>
        </w:tc>
      </w:tr>
      <w:tr w:rsidR="00000000">
        <w:trPr>
          <w:divId w:val="1559777047"/>
          <w:cantSplit/>
          <w:trHeight w:val="630"/>
        </w:trPr>
        <w:tc>
          <w:tcPr>
            <w:tcW w:w="2520" w:type="dxa"/>
            <w:tcBorders>
              <w:top w:val="nil"/>
            </w:tcBorders>
            <w:vAlign w:val="center"/>
            <w:hideMark/>
          </w:tcPr>
          <w:p w:rsidR="00000000" w:rsidRDefault="00501E77">
            <w:pPr>
              <w:rPr>
                <w:rFonts w:eastAsia="Times New Roman"/>
              </w:rPr>
            </w:pPr>
            <w:r>
              <w:rPr>
                <w:rFonts w:eastAsia="Times New Roman"/>
              </w:rPr>
              <w:t>ÚPPVII SR</w:t>
            </w:r>
          </w:p>
        </w:tc>
        <w:tc>
          <w:tcPr>
            <w:tcW w:w="7620" w:type="dxa"/>
            <w:tcBorders>
              <w:top w:val="nil"/>
              <w:left w:val="nil"/>
            </w:tcBorders>
            <w:vAlign w:val="center"/>
            <w:hideMark/>
          </w:tcPr>
          <w:p w:rsidR="00000000" w:rsidRDefault="00501E77">
            <w:pPr>
              <w:rPr>
                <w:rFonts w:eastAsia="Times New Roman"/>
              </w:rPr>
            </w:pPr>
            <w:r>
              <w:rPr>
                <w:rFonts w:eastAsia="Times New Roman"/>
              </w:rPr>
              <w:t>Zvýšiť využívanie a spokojnosť občanov so službami eGovernmentu</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vybudovanie IS DEI a jeho elektronických služieb</w:t>
            </w:r>
          </w:p>
        </w:tc>
        <w:tc>
          <w:tcPr>
            <w:tcW w:w="4780" w:type="dxa"/>
            <w:tcBorders>
              <w:top w:val="nil"/>
              <w:left w:val="nil"/>
            </w:tcBorders>
            <w:vAlign w:val="center"/>
            <w:hideMark/>
          </w:tcPr>
          <w:p w:rsidR="00000000" w:rsidRDefault="00501E77">
            <w:pPr>
              <w:rPr>
                <w:rFonts w:eastAsia="Times New Roman"/>
              </w:rPr>
            </w:pPr>
            <w:r>
              <w:rPr>
                <w:rFonts w:eastAsia="Times New Roman"/>
              </w:rPr>
              <w:t>Cieľ bude dosiahnutý prostredníctvom viacerých projektov v rámci cieľa 7.4</w:t>
            </w:r>
          </w:p>
        </w:tc>
      </w:tr>
      <w:tr w:rsidR="00000000">
        <w:trPr>
          <w:divId w:val="1559777047"/>
          <w:cantSplit/>
          <w:trHeight w:val="189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4" w:space="0" w:color="000000"/>
            </w:tcBorders>
            <w:vAlign w:val="center"/>
            <w:hideMark/>
          </w:tcPr>
          <w:p w:rsidR="00000000" w:rsidRDefault="00501E77">
            <w:pPr>
              <w:rPr>
                <w:rFonts w:eastAsia="Times New Roman"/>
              </w:rPr>
            </w:pPr>
            <w:r>
              <w:rPr>
                <w:rFonts w:eastAsia="Times New Roman"/>
              </w:rPr>
              <w:t>Výstupový KPI priamo súvisiaci s aktivitami projektu - 4 koncové elektronické služby, ktoré budú využívané občanmi (vrátane znevýhodnených skupín)</w:t>
            </w:r>
          </w:p>
        </w:tc>
      </w:tr>
      <w:tr w:rsidR="00000000">
        <w:trPr>
          <w:divId w:val="1559777047"/>
          <w:cantSplit/>
          <w:trHeight w:val="4095"/>
        </w:trPr>
        <w:tc>
          <w:tcPr>
            <w:tcW w:w="2520" w:type="dxa"/>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 xml:space="preserve">Výsledkový KPI priamo </w:t>
            </w:r>
            <w:r>
              <w:rPr>
                <w:rFonts w:eastAsia="Times New Roman"/>
              </w:rPr>
              <w:t>súvisiaci s aktivitami projektu – Na úrovni programu sa sleduje celkové používanie služieb eGovernmentu občanmi, pre projekt je možné tento ukazovateľ transformovať do ukazovateľa celkového používania zlužieb v zmysle počtu občanov, ktorí využili elektroni</w:t>
            </w:r>
            <w:r>
              <w:rPr>
                <w:rFonts w:eastAsia="Times New Roman"/>
              </w:rPr>
              <w:t>cké služby projektu na úrovni minimálne 50 000 ročne</w:t>
            </w:r>
          </w:p>
        </w:tc>
      </w:tr>
      <w:tr w:rsidR="00000000">
        <w:trPr>
          <w:divId w:val="1559777047"/>
          <w:cantSplit/>
          <w:trHeight w:val="2835"/>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Výsledkový KPI podliehajúci aj externým faktorom - Celková spokojnosť občanov so službami eGovernmentu, v zmysle spokojnosti občanov, ktorí využili elektronické služby projektu na úrovni 73 % v sú</w:t>
            </w:r>
            <w:r>
              <w:rPr>
                <w:rFonts w:eastAsia="Times New Roman"/>
              </w:rPr>
              <w:t>lade s cieľmi stanovenými na úrovni programu</w:t>
            </w:r>
          </w:p>
        </w:tc>
      </w:tr>
      <w:tr w:rsidR="00000000">
        <w:trPr>
          <w:divId w:val="1559777047"/>
          <w:cantSplit/>
          <w:trHeight w:val="645"/>
        </w:trPr>
        <w:tc>
          <w:tcPr>
            <w:tcW w:w="2520" w:type="dxa"/>
            <w:tcBorders>
              <w:top w:val="nil"/>
            </w:tcBorders>
            <w:vAlign w:val="center"/>
            <w:hideMark/>
          </w:tcPr>
          <w:p w:rsidR="00000000" w:rsidRDefault="00501E77">
            <w:pPr>
              <w:rPr>
                <w:rFonts w:eastAsia="Times New Roman"/>
              </w:rPr>
            </w:pPr>
            <w:r>
              <w:rPr>
                <w:rFonts w:eastAsia="Times New Roman"/>
              </w:rPr>
              <w:t>CMPP</w:t>
            </w:r>
          </w:p>
        </w:tc>
        <w:tc>
          <w:tcPr>
            <w:tcW w:w="7620" w:type="dxa"/>
            <w:tcBorders>
              <w:top w:val="nil"/>
              <w:left w:val="nil"/>
            </w:tcBorders>
            <w:vAlign w:val="center"/>
            <w:hideMark/>
          </w:tcPr>
          <w:p w:rsidR="00000000" w:rsidRDefault="00501E77">
            <w:pPr>
              <w:rPr>
                <w:rFonts w:eastAsia="Times New Roman"/>
              </w:rPr>
            </w:pPr>
            <w:r>
              <w:rPr>
                <w:rFonts w:eastAsia="Times New Roman"/>
              </w:rPr>
              <w:t>Umožniť dostupnosť všeobecne akceptovaného hodnotenia prostredníctvom centrálneho certifikačného systému</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vybudovanie IS DEI a jeho naplnenie testovacími položkami</w:t>
            </w:r>
          </w:p>
        </w:tc>
        <w:tc>
          <w:tcPr>
            <w:tcW w:w="4780" w:type="dxa"/>
            <w:tcBorders>
              <w:top w:val="nil"/>
              <w:left w:val="nil"/>
            </w:tcBorders>
            <w:vAlign w:val="center"/>
            <w:hideMark/>
          </w:tcPr>
          <w:p w:rsidR="00000000" w:rsidRDefault="00501E77">
            <w:pPr>
              <w:rPr>
                <w:rFonts w:eastAsia="Times New Roman"/>
              </w:rPr>
            </w:pPr>
            <w:r>
              <w:rPr>
                <w:rFonts w:eastAsia="Times New Roman"/>
              </w:rPr>
              <w:t>Nevyhn</w:t>
            </w:r>
            <w:r>
              <w:rPr>
                <w:rFonts w:eastAsia="Times New Roman"/>
              </w:rPr>
              <w:t>utná vzájomná súčinnosť a synergia s aktivitami realizovanými v rámci ESF</w:t>
            </w:r>
          </w:p>
        </w:tc>
      </w:tr>
      <w:tr w:rsidR="00000000">
        <w:trPr>
          <w:divId w:val="1559777047"/>
          <w:cantSplit/>
          <w:trHeight w:val="189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Výstupový KPI priamo súvisiaci s aktivitami projektu - 4 koncové elektronické služby, ktoré budú využívané občanmi (vrátane znevýhodnených skupín)</w:t>
            </w:r>
          </w:p>
        </w:tc>
      </w:tr>
      <w:tr w:rsidR="00000000">
        <w:trPr>
          <w:divId w:val="1559777047"/>
          <w:cantSplit/>
          <w:trHeight w:val="2205"/>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Výsledkový KPI podliehajúci aj externým faktorom - Percento jednotlivcov patriacich do znevýhodnenej skupiny, ktorí vďaka projektu využívajú elektronické služby eGovernmentu na úrovni 10 %</w:t>
            </w:r>
          </w:p>
        </w:tc>
      </w:tr>
      <w:tr w:rsidR="00000000">
        <w:trPr>
          <w:divId w:val="1559777047"/>
          <w:cantSplit/>
          <w:trHeight w:val="1275"/>
        </w:trPr>
        <w:tc>
          <w:tcPr>
            <w:tcW w:w="2520" w:type="dxa"/>
            <w:tcBorders>
              <w:top w:val="nil"/>
            </w:tcBorders>
            <w:vAlign w:val="center"/>
            <w:hideMark/>
          </w:tcPr>
          <w:p w:rsidR="00000000" w:rsidRDefault="00501E77">
            <w:pPr>
              <w:rPr>
                <w:rFonts w:eastAsia="Times New Roman"/>
              </w:rPr>
            </w:pPr>
            <w:r>
              <w:rPr>
                <w:rFonts w:eastAsia="Times New Roman"/>
              </w:rPr>
              <w:t>Občan (vrátane znevýhodnenej osoby)</w:t>
            </w:r>
          </w:p>
        </w:tc>
        <w:tc>
          <w:tcPr>
            <w:tcW w:w="7620" w:type="dxa"/>
            <w:tcBorders>
              <w:top w:val="nil"/>
              <w:left w:val="nil"/>
            </w:tcBorders>
            <w:vAlign w:val="center"/>
            <w:hideMark/>
          </w:tcPr>
          <w:p w:rsidR="00000000" w:rsidRDefault="00501E77">
            <w:pPr>
              <w:rPr>
                <w:rFonts w:eastAsia="Times New Roman"/>
              </w:rPr>
            </w:pPr>
            <w:r>
              <w:rPr>
                <w:rFonts w:eastAsia="Times New Roman"/>
              </w:rPr>
              <w:t>Mať jednoduchší prístup k za</w:t>
            </w:r>
            <w:r>
              <w:rPr>
                <w:rFonts w:eastAsia="Times New Roman"/>
              </w:rPr>
              <w:t>mestnaniam, vyžadujúcim digitálne kompetencie</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vytvoriť online nástroj pre vykonávanie sebahodnotenia a získanie všeobecne uznávaného certifikátu pre digitálne kompetencie ako spôsobu ich preukázania</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w:t>
            </w:r>
            <w:r>
              <w:rPr>
                <w:rFonts w:eastAsia="Times New Roman"/>
              </w:rPr>
              <w:t>innosť a synergia s aktivitami realizovanými v rámci ESF</w:t>
            </w:r>
          </w:p>
        </w:tc>
      </w:tr>
      <w:tr w:rsidR="00000000">
        <w:trPr>
          <w:divId w:val="1559777047"/>
          <w:cantSplit/>
          <w:trHeight w:val="126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Výstupový KPI priamo súvisiaci s aktivitami projektu – Počet vydaných certifikátov na úrovni 65 000 certifikátov</w:t>
            </w:r>
          </w:p>
        </w:tc>
      </w:tr>
      <w:tr w:rsidR="00000000">
        <w:trPr>
          <w:divId w:val="1559777047"/>
          <w:cantSplit/>
          <w:trHeight w:val="189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Výsledkový KPI podliehajúci aj externým faktorom – Percento znevýhodnených</w:t>
            </w:r>
            <w:r>
              <w:rPr>
                <w:rFonts w:eastAsia="Times New Roman"/>
              </w:rPr>
              <w:t xml:space="preserve"> jednotlivcov so strednými až vysokými počítačovými zručnosťami na úrovni 40%</w:t>
            </w:r>
          </w:p>
        </w:tc>
      </w:tr>
      <w:tr w:rsidR="00000000">
        <w:trPr>
          <w:divId w:val="1559777047"/>
          <w:cantSplit/>
          <w:trHeight w:val="960"/>
        </w:trPr>
        <w:tc>
          <w:tcPr>
            <w:tcW w:w="2520" w:type="dxa"/>
            <w:tcBorders>
              <w:top w:val="nil"/>
            </w:tcBorders>
            <w:vAlign w:val="center"/>
            <w:hideMark/>
          </w:tcPr>
          <w:p w:rsidR="00000000" w:rsidRDefault="00501E77">
            <w:pPr>
              <w:rPr>
                <w:rFonts w:eastAsia="Times New Roman"/>
              </w:rPr>
            </w:pPr>
            <w:r>
              <w:rPr>
                <w:rFonts w:eastAsia="Times New Roman"/>
              </w:rPr>
              <w:t>Občan (vrátane znevýhodnenej osoby)</w:t>
            </w:r>
          </w:p>
        </w:tc>
        <w:tc>
          <w:tcPr>
            <w:tcW w:w="7620" w:type="dxa"/>
            <w:tcBorders>
              <w:top w:val="nil"/>
              <w:left w:val="nil"/>
            </w:tcBorders>
            <w:vAlign w:val="center"/>
            <w:hideMark/>
          </w:tcPr>
          <w:p w:rsidR="00000000" w:rsidRDefault="00501E77">
            <w:pPr>
              <w:rPr>
                <w:rFonts w:eastAsia="Times New Roman"/>
              </w:rPr>
            </w:pPr>
            <w:r>
              <w:rPr>
                <w:rFonts w:eastAsia="Times New Roman"/>
              </w:rPr>
              <w:t>Získať možnosť seba-hodnotnenia v oblasti digitálnych kompetencií ako nástroja pre overenie vlastných komptencií, porovnania sa voči iným ú</w:t>
            </w:r>
            <w:r>
              <w:rPr>
                <w:rFonts w:eastAsia="Times New Roman"/>
              </w:rPr>
              <w:t>častníkom digitálneho trhu  a stanovenia plánu ďalšieho vzdelávania</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vytvoriť online nástroj pre vykonávanie sebahodnotenia</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559777047"/>
          <w:cantSplit/>
          <w:trHeight w:val="126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Výstupový KPI priamo súvisiaci s aktivitami projektu – Počet assessment testovaní na úrovni 330 000 testovaní</w:t>
            </w:r>
          </w:p>
        </w:tc>
      </w:tr>
      <w:tr w:rsidR="00000000">
        <w:trPr>
          <w:divId w:val="1559777047"/>
          <w:cantSplit/>
          <w:trHeight w:val="960"/>
        </w:trPr>
        <w:tc>
          <w:tcPr>
            <w:tcW w:w="2520" w:type="dxa"/>
            <w:tcBorders>
              <w:top w:val="nil"/>
            </w:tcBorders>
            <w:vAlign w:val="center"/>
            <w:hideMark/>
          </w:tcPr>
          <w:p w:rsidR="00000000" w:rsidRDefault="00501E77">
            <w:pPr>
              <w:rPr>
                <w:rFonts w:eastAsia="Times New Roman"/>
              </w:rPr>
            </w:pPr>
            <w:r>
              <w:rPr>
                <w:rFonts w:eastAsia="Times New Roman"/>
              </w:rPr>
              <w:t>Certifikačný partner</w:t>
            </w:r>
          </w:p>
        </w:tc>
        <w:tc>
          <w:tcPr>
            <w:tcW w:w="7620" w:type="dxa"/>
            <w:tcBorders>
              <w:top w:val="nil"/>
              <w:left w:val="nil"/>
            </w:tcBorders>
            <w:vAlign w:val="center"/>
            <w:hideMark/>
          </w:tcPr>
          <w:p w:rsidR="00000000" w:rsidRDefault="00501E77">
            <w:pPr>
              <w:rPr>
                <w:rFonts w:eastAsia="Times New Roman"/>
              </w:rPr>
            </w:pPr>
            <w:r>
              <w:rPr>
                <w:rFonts w:eastAsia="Times New Roman"/>
              </w:rPr>
              <w:t>Do 3. roku projektu zabezpečiť priestory a procesy pre dôveryhodný prístup k centrálnej certifikačnej infraštruktúre</w:t>
            </w:r>
          </w:p>
        </w:tc>
        <w:tc>
          <w:tcPr>
            <w:tcW w:w="5260" w:type="dxa"/>
            <w:tcBorders>
              <w:top w:val="nil"/>
              <w:left w:val="nil"/>
            </w:tcBorders>
            <w:vAlign w:val="center"/>
            <w:hideMark/>
          </w:tcPr>
          <w:p w:rsidR="00000000" w:rsidRDefault="00501E77">
            <w:pPr>
              <w:rPr>
                <w:rFonts w:eastAsia="Times New Roman"/>
              </w:rPr>
            </w:pPr>
            <w:r>
              <w:rPr>
                <w:rFonts w:eastAsia="Times New Roman"/>
              </w:rPr>
              <w:t>Mať v</w:t>
            </w:r>
            <w:r>
              <w:rPr>
                <w:rFonts w:eastAsia="Times New Roman"/>
              </w:rPr>
              <w:t>časné podmienky a metodiku pre akreditovaného certifikačného partnera (do konca 2. roku projektu)</w:t>
            </w:r>
          </w:p>
        </w:tc>
        <w:tc>
          <w:tcPr>
            <w:tcW w:w="4780" w:type="dxa"/>
            <w:tcBorders>
              <w:top w:val="nil"/>
              <w:left w:val="nil"/>
            </w:tcBorders>
            <w:vAlign w:val="center"/>
            <w:hideMark/>
          </w:tcPr>
          <w:p w:rsidR="00000000" w:rsidRDefault="00501E77">
            <w:pPr>
              <w:rPr>
                <w:rFonts w:eastAsia="Times New Roman"/>
              </w:rPr>
            </w:pPr>
            <w:r>
              <w:rPr>
                <w:rFonts w:eastAsia="Times New Roman"/>
              </w:rPr>
              <w:t>Limit pre maximálny počet ocertifikovaných (10.000/rok/partner)</w:t>
            </w:r>
          </w:p>
        </w:tc>
      </w:tr>
      <w:tr w:rsidR="00000000">
        <w:trPr>
          <w:divId w:val="1559777047"/>
          <w:cantSplit/>
          <w:trHeight w:val="63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Preukázať schopnosť certifikácie 100 osôb denne</w:t>
            </w:r>
          </w:p>
        </w:tc>
      </w:tr>
      <w:tr w:rsidR="00000000">
        <w:trPr>
          <w:divId w:val="1559777047"/>
          <w:cantSplit/>
          <w:trHeight w:val="1275"/>
        </w:trPr>
        <w:tc>
          <w:tcPr>
            <w:tcW w:w="2520" w:type="dxa"/>
            <w:tcBorders>
              <w:top w:val="nil"/>
            </w:tcBorders>
            <w:vAlign w:val="center"/>
            <w:hideMark/>
          </w:tcPr>
          <w:p w:rsidR="00000000" w:rsidRDefault="00501E77">
            <w:pPr>
              <w:rPr>
                <w:rFonts w:eastAsia="Times New Roman"/>
              </w:rPr>
            </w:pPr>
            <w:r>
              <w:rPr>
                <w:rFonts w:eastAsia="Times New Roman"/>
              </w:rPr>
              <w:t>Zamestnávatelia</w:t>
            </w:r>
          </w:p>
        </w:tc>
        <w:tc>
          <w:tcPr>
            <w:tcW w:w="7620" w:type="dxa"/>
            <w:tcBorders>
              <w:top w:val="nil"/>
              <w:left w:val="nil"/>
            </w:tcBorders>
            <w:vAlign w:val="center"/>
            <w:hideMark/>
          </w:tcPr>
          <w:p w:rsidR="00000000" w:rsidRDefault="00501E77">
            <w:pPr>
              <w:rPr>
                <w:rFonts w:eastAsia="Times New Roman"/>
              </w:rPr>
            </w:pPr>
            <w:r>
              <w:rPr>
                <w:rFonts w:eastAsia="Times New Roman"/>
              </w:rPr>
              <w:t>Jednoznačne poznať úro</w:t>
            </w:r>
            <w:r>
              <w:rPr>
                <w:rFonts w:eastAsia="Times New Roman"/>
              </w:rPr>
              <w:t>vne ovládania informatiky zamestnancov, resp. budúcich zamestnancov, ktoré nepodliehajú častým zmenám spôsobených rozvojom IKT</w:t>
            </w:r>
          </w:p>
        </w:tc>
        <w:tc>
          <w:tcPr>
            <w:tcW w:w="5260" w:type="dxa"/>
            <w:tcBorders>
              <w:top w:val="nil"/>
              <w:left w:val="nil"/>
            </w:tcBorders>
            <w:vAlign w:val="center"/>
            <w:hideMark/>
          </w:tcPr>
          <w:p w:rsidR="00000000" w:rsidRDefault="00501E77">
            <w:pPr>
              <w:rPr>
                <w:rFonts w:eastAsia="Times New Roman"/>
              </w:rPr>
            </w:pPr>
            <w:r>
              <w:rPr>
                <w:rFonts w:eastAsia="Times New Roman"/>
              </w:rPr>
              <w:t>Pre dosiahnutie cieľa je potrebné vytvorenie online nástroja pre vykonávanie sebahodnotenia a získanie všeobecne uznávaného certi</w:t>
            </w:r>
            <w:r>
              <w:rPr>
                <w:rFonts w:eastAsia="Times New Roman"/>
              </w:rPr>
              <w:t>fikátu pre digitálne kompetencie ako spôsobu ich preukázania</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realizovanými v rámci ESF</w:t>
            </w:r>
          </w:p>
        </w:tc>
      </w:tr>
      <w:tr w:rsidR="00000000">
        <w:trPr>
          <w:divId w:val="1559777047"/>
          <w:cantSplit/>
          <w:trHeight w:val="126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Výstupový KPI priamo súvisiaci s aktivitami projektu – Počet vydaných certifikátov na úrovni 65 000 certifikát</w:t>
            </w:r>
            <w:r>
              <w:rPr>
                <w:rFonts w:eastAsia="Times New Roman"/>
              </w:rPr>
              <w:t>ov</w:t>
            </w:r>
          </w:p>
        </w:tc>
      </w:tr>
      <w:tr w:rsidR="00000000">
        <w:trPr>
          <w:divId w:val="1559777047"/>
          <w:cantSplit/>
          <w:trHeight w:val="1590"/>
        </w:trPr>
        <w:tc>
          <w:tcPr>
            <w:tcW w:w="2520" w:type="dxa"/>
            <w:tcBorders>
              <w:top w:val="nil"/>
            </w:tcBorders>
            <w:vAlign w:val="center"/>
            <w:hideMark/>
          </w:tcPr>
          <w:p w:rsidR="00000000" w:rsidRDefault="00501E77">
            <w:pPr>
              <w:rPr>
                <w:rFonts w:eastAsia="Times New Roman"/>
              </w:rPr>
            </w:pPr>
            <w:r>
              <w:rPr>
                <w:rFonts w:eastAsia="Times New Roman"/>
              </w:rPr>
              <w:t>Zamestnávatelia</w:t>
            </w:r>
          </w:p>
        </w:tc>
        <w:tc>
          <w:tcPr>
            <w:tcW w:w="7620" w:type="dxa"/>
            <w:tcBorders>
              <w:top w:val="nil"/>
              <w:left w:val="nil"/>
            </w:tcBorders>
            <w:vAlign w:val="center"/>
            <w:hideMark/>
          </w:tcPr>
          <w:p w:rsidR="00000000" w:rsidRDefault="00501E77">
            <w:pPr>
              <w:rPr>
                <w:rFonts w:eastAsia="Times New Roman"/>
              </w:rPr>
            </w:pPr>
            <w:r>
              <w:rPr>
                <w:rFonts w:eastAsia="Times New Roman"/>
              </w:rPr>
              <w:t>Zníženie podielu ekonomicky aktívneho obyvateľstva s nepostačujúcimi IKT zručnosťami pre pracovný trh</w:t>
            </w:r>
          </w:p>
        </w:tc>
        <w:tc>
          <w:tcPr>
            <w:tcW w:w="5260" w:type="dxa"/>
            <w:tcBorders>
              <w:top w:val="nil"/>
              <w:left w:val="nil"/>
            </w:tcBorders>
            <w:vAlign w:val="center"/>
            <w:hideMark/>
          </w:tcPr>
          <w:p w:rsidR="00000000" w:rsidRDefault="00501E77">
            <w:pPr>
              <w:rPr>
                <w:rFonts w:eastAsia="Times New Roman"/>
              </w:rPr>
            </w:pPr>
            <w:r>
              <w:rPr>
                <w:rFonts w:eastAsia="Times New Roman"/>
              </w:rPr>
              <w:t>Vytvoriť podmienky pre vzdelávanie v </w:t>
            </w:r>
            <w:r>
              <w:rPr>
                <w:rFonts w:eastAsia="Times New Roman"/>
              </w:rPr>
              <w:t>oblasti digitálnych kompetencií a vytvorenie online nástroja pre vykonávanie sebahodnotenia a získanie všeobecne uznávaného certifikátu pre digitálne kompetencie ako spôsobu ich preukázania</w:t>
            </w:r>
          </w:p>
        </w:tc>
        <w:tc>
          <w:tcPr>
            <w:tcW w:w="4780" w:type="dxa"/>
            <w:tcBorders>
              <w:top w:val="nil"/>
              <w:left w:val="nil"/>
            </w:tcBorders>
            <w:vAlign w:val="center"/>
            <w:hideMark/>
          </w:tcPr>
          <w:p w:rsidR="00000000" w:rsidRDefault="00501E77">
            <w:pPr>
              <w:rPr>
                <w:rFonts w:eastAsia="Times New Roman"/>
              </w:rPr>
            </w:pPr>
            <w:r>
              <w:rPr>
                <w:rFonts w:eastAsia="Times New Roman"/>
              </w:rPr>
              <w:t>Nevyhnutná vzájomná súčinnosť a synergia s aktivitami realizovaným</w:t>
            </w:r>
            <w:r>
              <w:rPr>
                <w:rFonts w:eastAsia="Times New Roman"/>
              </w:rPr>
              <w:t>i v rámci ESF</w:t>
            </w:r>
          </w:p>
        </w:tc>
      </w:tr>
      <w:tr w:rsidR="00000000">
        <w:trPr>
          <w:divId w:val="1559777047"/>
          <w:cantSplit/>
          <w:trHeight w:val="1890"/>
        </w:trPr>
        <w:tc>
          <w:tcPr>
            <w:tcW w:w="2520" w:type="dxa"/>
            <w:tcBorders>
              <w:top w:val="nil"/>
            </w:tcBorders>
            <w:vAlign w:val="center"/>
            <w:hideMark/>
          </w:tcPr>
          <w:p w:rsidR="00000000" w:rsidRDefault="00501E77">
            <w:pPr>
              <w:rPr>
                <w:rFonts w:eastAsia="Times New Roman"/>
              </w:rPr>
            </w:pPr>
            <w:r>
              <w:rPr>
                <w:rFonts w:eastAsia="Times New Roman"/>
              </w:rPr>
              <w:t>KPI</w:t>
            </w:r>
          </w:p>
        </w:tc>
        <w:tc>
          <w:tcPr>
            <w:tcW w:w="17660" w:type="dxa"/>
            <w:gridSpan w:val="3"/>
            <w:tcBorders>
              <w:left w:val="nil"/>
              <w:right w:val="single" w:sz="8" w:space="0" w:color="000000"/>
            </w:tcBorders>
            <w:vAlign w:val="center"/>
            <w:hideMark/>
          </w:tcPr>
          <w:p w:rsidR="00000000" w:rsidRDefault="00501E77">
            <w:pPr>
              <w:rPr>
                <w:rFonts w:eastAsia="Times New Roman"/>
              </w:rPr>
            </w:pPr>
            <w:r>
              <w:rPr>
                <w:rFonts w:eastAsia="Times New Roman"/>
              </w:rPr>
              <w:t>Výsledkový KPI podliehajúci aj externým faktorom Pokles percenta obyvateľstva s nepostačujúcimi IKT zručnosťami pre pracovný trh o 14,7 p.b.</w:t>
            </w:r>
          </w:p>
        </w:tc>
      </w:tr>
    </w:tbl>
    <w:p w:rsidR="00501E77" w:rsidRDefault="00501E77">
      <w:pPr>
        <w:divId w:val="1559777047"/>
        <w:rPr>
          <w:rFonts w:eastAsia="Times New Roman"/>
        </w:rPr>
      </w:pPr>
    </w:p>
    <w:sectPr w:rsidR="00501E77">
      <w:pgSz w:w="12240" w:h="15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3BBF"/>
    <w:multiLevelType w:val="multilevel"/>
    <w:tmpl w:val="8D66F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8196D"/>
    <w:multiLevelType w:val="multilevel"/>
    <w:tmpl w:val="4D24D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B24E6"/>
    <w:multiLevelType w:val="multilevel"/>
    <w:tmpl w:val="7730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44E28"/>
    <w:multiLevelType w:val="multilevel"/>
    <w:tmpl w:val="4482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91B34"/>
    <w:multiLevelType w:val="multilevel"/>
    <w:tmpl w:val="82A80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A1FCE"/>
    <w:multiLevelType w:val="multilevel"/>
    <w:tmpl w:val="A8DC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57BBC"/>
    <w:multiLevelType w:val="multilevel"/>
    <w:tmpl w:val="67F6C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0B1338"/>
    <w:multiLevelType w:val="multilevel"/>
    <w:tmpl w:val="1072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73152"/>
    <w:multiLevelType w:val="multilevel"/>
    <w:tmpl w:val="9318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349F7"/>
    <w:multiLevelType w:val="multilevel"/>
    <w:tmpl w:val="93E43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DC1732"/>
    <w:multiLevelType w:val="multilevel"/>
    <w:tmpl w:val="15E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717CD"/>
    <w:multiLevelType w:val="multilevel"/>
    <w:tmpl w:val="948E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8716E6"/>
    <w:multiLevelType w:val="multilevel"/>
    <w:tmpl w:val="5664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FD370E"/>
    <w:multiLevelType w:val="multilevel"/>
    <w:tmpl w:val="ABC0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03481"/>
    <w:multiLevelType w:val="multilevel"/>
    <w:tmpl w:val="CA36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FD7165"/>
    <w:multiLevelType w:val="multilevel"/>
    <w:tmpl w:val="F2F09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6650E6"/>
    <w:multiLevelType w:val="multilevel"/>
    <w:tmpl w:val="C1AA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345DF"/>
    <w:multiLevelType w:val="multilevel"/>
    <w:tmpl w:val="7AEC4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3F08CC"/>
    <w:multiLevelType w:val="multilevel"/>
    <w:tmpl w:val="7906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930D7C"/>
    <w:multiLevelType w:val="multilevel"/>
    <w:tmpl w:val="E6AE3A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8E6DAA"/>
    <w:multiLevelType w:val="multilevel"/>
    <w:tmpl w:val="C12EB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4973F5"/>
    <w:multiLevelType w:val="multilevel"/>
    <w:tmpl w:val="AD588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9644FD"/>
    <w:multiLevelType w:val="multilevel"/>
    <w:tmpl w:val="E2F6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6A07FC"/>
    <w:multiLevelType w:val="multilevel"/>
    <w:tmpl w:val="163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327834"/>
    <w:multiLevelType w:val="multilevel"/>
    <w:tmpl w:val="602AA5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B7398"/>
    <w:multiLevelType w:val="multilevel"/>
    <w:tmpl w:val="E0F4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B00EB0"/>
    <w:multiLevelType w:val="multilevel"/>
    <w:tmpl w:val="31A2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3044E9"/>
    <w:multiLevelType w:val="multilevel"/>
    <w:tmpl w:val="AA52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7272E3"/>
    <w:multiLevelType w:val="multilevel"/>
    <w:tmpl w:val="5B76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3578BB"/>
    <w:multiLevelType w:val="multilevel"/>
    <w:tmpl w:val="C1648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81617B"/>
    <w:multiLevelType w:val="multilevel"/>
    <w:tmpl w:val="D2048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F52547"/>
    <w:multiLevelType w:val="multilevel"/>
    <w:tmpl w:val="B8F2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9D5335"/>
    <w:multiLevelType w:val="multilevel"/>
    <w:tmpl w:val="DB4A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D47921"/>
    <w:multiLevelType w:val="multilevel"/>
    <w:tmpl w:val="7450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9955BA"/>
    <w:multiLevelType w:val="multilevel"/>
    <w:tmpl w:val="FCE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B776C6"/>
    <w:multiLevelType w:val="multilevel"/>
    <w:tmpl w:val="CB82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896B87"/>
    <w:multiLevelType w:val="multilevel"/>
    <w:tmpl w:val="E4B46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C53148"/>
    <w:multiLevelType w:val="multilevel"/>
    <w:tmpl w:val="85802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3B43EC"/>
    <w:multiLevelType w:val="multilevel"/>
    <w:tmpl w:val="F73E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AC79F8"/>
    <w:multiLevelType w:val="multilevel"/>
    <w:tmpl w:val="CA84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405FEE"/>
    <w:multiLevelType w:val="multilevel"/>
    <w:tmpl w:val="0802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033ECB"/>
    <w:multiLevelType w:val="multilevel"/>
    <w:tmpl w:val="8AF66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3E5888"/>
    <w:multiLevelType w:val="multilevel"/>
    <w:tmpl w:val="4792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E03CA5"/>
    <w:multiLevelType w:val="multilevel"/>
    <w:tmpl w:val="7E26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16"/>
  </w:num>
  <w:num w:numId="4">
    <w:abstractNumId w:val="29"/>
  </w:num>
  <w:num w:numId="5">
    <w:abstractNumId w:val="7"/>
  </w:num>
  <w:num w:numId="6">
    <w:abstractNumId w:val="2"/>
  </w:num>
  <w:num w:numId="7">
    <w:abstractNumId w:val="31"/>
  </w:num>
  <w:num w:numId="8">
    <w:abstractNumId w:val="43"/>
  </w:num>
  <w:num w:numId="9">
    <w:abstractNumId w:val="4"/>
  </w:num>
  <w:num w:numId="10">
    <w:abstractNumId w:val="37"/>
  </w:num>
  <w:num w:numId="11">
    <w:abstractNumId w:val="15"/>
  </w:num>
  <w:num w:numId="12">
    <w:abstractNumId w:val="1"/>
  </w:num>
  <w:num w:numId="13">
    <w:abstractNumId w:val="41"/>
  </w:num>
  <w:num w:numId="14">
    <w:abstractNumId w:val="0"/>
  </w:num>
  <w:num w:numId="15">
    <w:abstractNumId w:val="26"/>
  </w:num>
  <w:num w:numId="16">
    <w:abstractNumId w:val="39"/>
  </w:num>
  <w:num w:numId="17">
    <w:abstractNumId w:val="25"/>
  </w:num>
  <w:num w:numId="18">
    <w:abstractNumId w:val="22"/>
  </w:num>
  <w:num w:numId="19">
    <w:abstractNumId w:val="3"/>
  </w:num>
  <w:num w:numId="20">
    <w:abstractNumId w:val="42"/>
  </w:num>
  <w:num w:numId="21">
    <w:abstractNumId w:val="12"/>
  </w:num>
  <w:num w:numId="22">
    <w:abstractNumId w:val="28"/>
  </w:num>
  <w:num w:numId="23">
    <w:abstractNumId w:val="38"/>
  </w:num>
  <w:num w:numId="24">
    <w:abstractNumId w:val="30"/>
  </w:num>
  <w:num w:numId="25">
    <w:abstractNumId w:val="40"/>
  </w:num>
  <w:num w:numId="26">
    <w:abstractNumId w:val="19"/>
  </w:num>
  <w:num w:numId="27">
    <w:abstractNumId w:val="24"/>
  </w:num>
  <w:num w:numId="28">
    <w:abstractNumId w:val="6"/>
  </w:num>
  <w:num w:numId="29">
    <w:abstractNumId w:val="33"/>
  </w:num>
  <w:num w:numId="30">
    <w:abstractNumId w:val="36"/>
  </w:num>
  <w:num w:numId="31">
    <w:abstractNumId w:val="17"/>
  </w:num>
  <w:num w:numId="32">
    <w:abstractNumId w:val="35"/>
  </w:num>
  <w:num w:numId="33">
    <w:abstractNumId w:val="20"/>
  </w:num>
  <w:num w:numId="34">
    <w:abstractNumId w:val="32"/>
  </w:num>
  <w:num w:numId="35">
    <w:abstractNumId w:val="23"/>
  </w:num>
  <w:num w:numId="36">
    <w:abstractNumId w:val="21"/>
  </w:num>
  <w:num w:numId="37">
    <w:abstractNumId w:val="9"/>
  </w:num>
  <w:num w:numId="38">
    <w:abstractNumId w:val="14"/>
  </w:num>
  <w:num w:numId="39">
    <w:abstractNumId w:val="8"/>
  </w:num>
  <w:num w:numId="40">
    <w:abstractNumId w:val="34"/>
  </w:num>
  <w:num w:numId="41">
    <w:abstractNumId w:val="27"/>
  </w:num>
  <w:num w:numId="42">
    <w:abstractNumId w:val="11"/>
  </w:num>
  <w:num w:numId="43">
    <w:abstractNumId w:val="5"/>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2977EA"/>
    <w:rsid w:val="002977EA"/>
    <w:rsid w:val="00501E7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77BEF51-0AE1-41A1-B08D-8030D401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eastAsiaTheme="minorEastAsia"/>
      <w:sz w:val="24"/>
      <w:szCs w:val="24"/>
    </w:rPr>
  </w:style>
  <w:style w:type="paragraph" w:styleId="Nadpis1">
    <w:name w:val="heading 1"/>
    <w:basedOn w:val="Normlny"/>
    <w:link w:val="Nadpis1Char"/>
    <w:uiPriority w:val="9"/>
    <w:qFormat/>
    <w:pPr>
      <w:spacing w:before="100" w:beforeAutospacing="1" w:after="100" w:afterAutospacing="1"/>
      <w:outlineLvl w:val="0"/>
    </w:pPr>
    <w:rPr>
      <w:b/>
      <w:bCs/>
      <w:kern w:val="36"/>
      <w:sz w:val="48"/>
      <w:szCs w:val="48"/>
    </w:rPr>
  </w:style>
  <w:style w:type="paragraph" w:styleId="Nadpis2">
    <w:name w:val="heading 2"/>
    <w:basedOn w:val="Normlny"/>
    <w:link w:val="Nadpis2Char"/>
    <w:uiPriority w:val="9"/>
    <w:qFormat/>
    <w:pPr>
      <w:spacing w:before="100" w:beforeAutospacing="1" w:after="100" w:afterAutospacing="1"/>
      <w:outlineLvl w:val="1"/>
    </w:pPr>
    <w:rPr>
      <w:b/>
      <w:bCs/>
      <w:sz w:val="36"/>
      <w:szCs w:val="36"/>
    </w:rPr>
  </w:style>
  <w:style w:type="paragraph" w:styleId="Nadpis3">
    <w:name w:val="heading 3"/>
    <w:basedOn w:val="Normlny"/>
    <w:link w:val="Nadpis3Char"/>
    <w:uiPriority w:val="9"/>
    <w:qFormat/>
    <w:pPr>
      <w:spacing w:before="100" w:beforeAutospacing="1" w:after="100" w:afterAutospacing="1"/>
      <w:outlineLvl w:val="2"/>
    </w:pPr>
    <w:rPr>
      <w:b/>
      <w:bCs/>
      <w:sz w:val="27"/>
      <w:szCs w:val="27"/>
    </w:rPr>
  </w:style>
  <w:style w:type="paragraph" w:styleId="Nadpis4">
    <w:name w:val="heading 4"/>
    <w:basedOn w:val="Normlny"/>
    <w:link w:val="Nadpis4Char"/>
    <w:uiPriority w:val="9"/>
    <w:qFormat/>
    <w:pPr>
      <w:spacing w:before="100" w:beforeAutospacing="1" w:after="100" w:afterAutospacing="1"/>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Pr>
      <w:rFonts w:asciiTheme="majorHAnsi" w:eastAsiaTheme="majorEastAsia" w:hAnsiTheme="majorHAnsi" w:cstheme="majorBidi"/>
      <w:color w:val="2E74B5" w:themeColor="accent1" w:themeShade="BF"/>
      <w:sz w:val="32"/>
      <w:szCs w:val="32"/>
    </w:rPr>
  </w:style>
  <w:style w:type="paragraph" w:customStyle="1" w:styleId="fstitlepage">
    <w:name w:val="fstitlepage"/>
    <w:basedOn w:val="Normlny"/>
    <w:pPr>
      <w:spacing w:before="100" w:beforeAutospacing="1" w:after="100" w:afterAutospacing="1"/>
    </w:pPr>
  </w:style>
  <w:style w:type="character" w:customStyle="1" w:styleId="su2header">
    <w:name w:val="su2_header"/>
    <w:basedOn w:val="Predvolenpsmoodseku"/>
  </w:style>
  <w:style w:type="character" w:customStyle="1" w:styleId="inline-comment-marker">
    <w:name w:val="inline-comment-marker"/>
    <w:basedOn w:val="Predvolenpsmoodseku"/>
  </w:style>
  <w:style w:type="paragraph" w:styleId="Normlnywebov">
    <w:name w:val="Normal (Web)"/>
    <w:basedOn w:val="Normlny"/>
    <w:uiPriority w:val="99"/>
    <w:semiHidden/>
    <w:unhideWhenUsed/>
    <w:pPr>
      <w:spacing w:before="100" w:beforeAutospacing="1" w:after="100" w:afterAutospacing="1"/>
    </w:pPr>
  </w:style>
  <w:style w:type="character" w:customStyle="1" w:styleId="confluence-anchor-link">
    <w:name w:val="confluence-anchor-link"/>
    <w:basedOn w:val="Predvolenpsmoodseku"/>
  </w:style>
  <w:style w:type="character" w:styleId="Siln">
    <w:name w:val="Strong"/>
    <w:basedOn w:val="Predvolenpsmoodseku"/>
    <w:uiPriority w:val="22"/>
    <w:qFormat/>
    <w:rPr>
      <w:b/>
      <w:bCs/>
    </w:rPr>
  </w:style>
  <w:style w:type="character" w:styleId="Hypertextovprepojenie">
    <w:name w:val="Hyperlink"/>
    <w:basedOn w:val="Predvolenpsmoodseku"/>
    <w:uiPriority w:val="99"/>
    <w:semiHidden/>
    <w:unhideWhenUsed/>
    <w:rPr>
      <w:color w:val="0000FF"/>
      <w:u w:val="single"/>
    </w:rPr>
  </w:style>
  <w:style w:type="character" w:styleId="PouitHypertextovPrepojenie">
    <w:name w:val="FollowedHyperlink"/>
    <w:basedOn w:val="Predvolenpsmoodseku"/>
    <w:uiPriority w:val="99"/>
    <w:semiHidden/>
    <w:unhideWhenUsed/>
    <w:rPr>
      <w:color w:val="800080"/>
      <w:u w:val="single"/>
    </w:rPr>
  </w:style>
  <w:style w:type="paragraph" w:customStyle="1" w:styleId="zcontents">
    <w:name w:val="zcontents"/>
    <w:basedOn w:val="Normlny"/>
    <w:pPr>
      <w:spacing w:before="100" w:beforeAutospacing="1" w:after="100" w:afterAutospacing="1"/>
    </w:pPr>
  </w:style>
  <w:style w:type="character" w:customStyle="1" w:styleId="Nadpis2Char">
    <w:name w:val="Nadpis 2 Char"/>
    <w:basedOn w:val="Predvolenpsmoodseku"/>
    <w:link w:val="Nadpis2"/>
    <w:uiPriority w:val="9"/>
    <w:semiHidden/>
    <w:rPr>
      <w:rFonts w:asciiTheme="majorHAnsi" w:eastAsiaTheme="majorEastAsia" w:hAnsiTheme="majorHAnsi" w:cstheme="majorBidi"/>
      <w:color w:val="2E74B5" w:themeColor="accent1" w:themeShade="BF"/>
      <w:sz w:val="26"/>
      <w:szCs w:val="26"/>
    </w:rPr>
  </w:style>
  <w:style w:type="character" w:styleId="Zvraznenie">
    <w:name w:val="Emphasis"/>
    <w:basedOn w:val="Predvolenpsmoodseku"/>
    <w:uiPriority w:val="20"/>
    <w:qFormat/>
    <w:rPr>
      <w:i/>
      <w:iCs/>
    </w:rPr>
  </w:style>
  <w:style w:type="paragraph" w:customStyle="1" w:styleId="color">
    <w:name w:val="color"/>
    <w:basedOn w:val="Normlny"/>
    <w:pPr>
      <w:spacing w:before="100" w:beforeAutospacing="1" w:after="100" w:afterAutospacing="1"/>
    </w:pPr>
  </w:style>
  <w:style w:type="character" w:customStyle="1" w:styleId="confluence-embedded-file-wrapper">
    <w:name w:val="confluence-embedded-file-wrapper"/>
    <w:basedOn w:val="Predvolenpsmoodseku"/>
  </w:style>
  <w:style w:type="character" w:customStyle="1" w:styleId="Nadpis3Char">
    <w:name w:val="Nadpis 3 Char"/>
    <w:basedOn w:val="Predvolenpsmoodseku"/>
    <w:link w:val="Nadpis3"/>
    <w:uiPriority w:val="9"/>
    <w:semiHidden/>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semiHidden/>
    <w:rPr>
      <w:rFonts w:asciiTheme="majorHAnsi" w:eastAsiaTheme="majorEastAsia" w:hAnsiTheme="majorHAnsi" w:cstheme="majorBidi"/>
      <w:i/>
      <w:iCs/>
      <w:color w:val="2E74B5" w:themeColor="accent1" w:themeShade="BF"/>
      <w:sz w:val="24"/>
      <w:szCs w:val="24"/>
    </w:rPr>
  </w:style>
  <w:style w:type="paragraph" w:styleId="Zkladntext">
    <w:name w:val="Body Text"/>
    <w:basedOn w:val="Normlny"/>
    <w:link w:val="ZkladntextChar"/>
    <w:uiPriority w:val="99"/>
    <w:semiHidden/>
    <w:unhideWhenUsed/>
    <w:pPr>
      <w:spacing w:before="100" w:beforeAutospacing="1" w:after="100" w:afterAutospacing="1"/>
    </w:pPr>
  </w:style>
  <w:style w:type="character" w:customStyle="1" w:styleId="ZkladntextChar">
    <w:name w:val="Základný text Char"/>
    <w:basedOn w:val="Predvolenpsmoodseku"/>
    <w:link w:val="Zkladntext"/>
    <w:uiPriority w:val="99"/>
    <w:semiHidden/>
    <w:rPr>
      <w:rFonts w:eastAsiaTheme="minorEastAsia"/>
      <w:sz w:val="24"/>
      <w:szCs w:val="24"/>
    </w:rPr>
  </w:style>
  <w:style w:type="paragraph" w:styleId="Textpoznmkypodiarou">
    <w:name w:val="footnote text"/>
    <w:basedOn w:val="Normlny"/>
    <w:link w:val="TextpoznmkypodiarouChar"/>
    <w:uiPriority w:val="99"/>
    <w:semiHidden/>
    <w:unhideWhenUsed/>
    <w:pPr>
      <w:spacing w:before="100" w:beforeAutospacing="1" w:after="100" w:afterAutospacing="1"/>
    </w:pPr>
  </w:style>
  <w:style w:type="character" w:customStyle="1" w:styleId="TextpoznmkypodiarouChar">
    <w:name w:val="Text poznámky pod čiarou Char"/>
    <w:basedOn w:val="Predvolenpsmoodseku"/>
    <w:link w:val="Textpoznmkypodiarou"/>
    <w:uiPriority w:val="99"/>
    <w:semiHidden/>
    <w:rPr>
      <w:rFonts w:eastAsiaTheme="minorEastAsia"/>
    </w:rPr>
  </w:style>
  <w:style w:type="character" w:styleId="Odkaznapoznmkupodiarou">
    <w:name w:val="footnote reference"/>
    <w:basedOn w:val="Predvolenpsmoodseku"/>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5782">
      <w:marLeft w:val="0"/>
      <w:marRight w:val="0"/>
      <w:marTop w:val="0"/>
      <w:marBottom w:val="0"/>
      <w:divBdr>
        <w:top w:val="none" w:sz="0" w:space="0" w:color="auto"/>
        <w:left w:val="none" w:sz="0" w:space="0" w:color="auto"/>
        <w:bottom w:val="none" w:sz="0" w:space="0" w:color="auto"/>
        <w:right w:val="none" w:sz="0" w:space="0" w:color="auto"/>
      </w:divBdr>
    </w:div>
    <w:div w:id="20863020">
      <w:marLeft w:val="0"/>
      <w:marRight w:val="0"/>
      <w:marTop w:val="0"/>
      <w:marBottom w:val="0"/>
      <w:divBdr>
        <w:top w:val="none" w:sz="0" w:space="0" w:color="auto"/>
        <w:left w:val="none" w:sz="0" w:space="0" w:color="auto"/>
        <w:bottom w:val="none" w:sz="0" w:space="0" w:color="auto"/>
        <w:right w:val="none" w:sz="0" w:space="0" w:color="auto"/>
      </w:divBdr>
    </w:div>
    <w:div w:id="107742268">
      <w:marLeft w:val="0"/>
      <w:marRight w:val="0"/>
      <w:marTop w:val="0"/>
      <w:marBottom w:val="0"/>
      <w:divBdr>
        <w:top w:val="none" w:sz="0" w:space="0" w:color="auto"/>
        <w:left w:val="none" w:sz="0" w:space="0" w:color="auto"/>
        <w:bottom w:val="none" w:sz="0" w:space="0" w:color="auto"/>
        <w:right w:val="none" w:sz="0" w:space="0" w:color="auto"/>
      </w:divBdr>
      <w:divsChild>
        <w:div w:id="131098494">
          <w:marLeft w:val="0"/>
          <w:marRight w:val="0"/>
          <w:marTop w:val="0"/>
          <w:marBottom w:val="0"/>
          <w:divBdr>
            <w:top w:val="none" w:sz="0" w:space="0" w:color="auto"/>
            <w:left w:val="none" w:sz="0" w:space="0" w:color="auto"/>
            <w:bottom w:val="none" w:sz="0" w:space="0" w:color="auto"/>
            <w:right w:val="none" w:sz="0" w:space="0" w:color="auto"/>
          </w:divBdr>
        </w:div>
      </w:divsChild>
    </w:div>
    <w:div w:id="121576824">
      <w:marLeft w:val="0"/>
      <w:marRight w:val="0"/>
      <w:marTop w:val="0"/>
      <w:marBottom w:val="0"/>
      <w:divBdr>
        <w:top w:val="none" w:sz="0" w:space="0" w:color="auto"/>
        <w:left w:val="none" w:sz="0" w:space="0" w:color="auto"/>
        <w:bottom w:val="none" w:sz="0" w:space="0" w:color="auto"/>
        <w:right w:val="none" w:sz="0" w:space="0" w:color="auto"/>
      </w:divBdr>
    </w:div>
    <w:div w:id="158010322">
      <w:marLeft w:val="0"/>
      <w:marRight w:val="0"/>
      <w:marTop w:val="0"/>
      <w:marBottom w:val="0"/>
      <w:divBdr>
        <w:top w:val="none" w:sz="0" w:space="0" w:color="auto"/>
        <w:left w:val="none" w:sz="0" w:space="0" w:color="auto"/>
        <w:bottom w:val="none" w:sz="0" w:space="0" w:color="auto"/>
        <w:right w:val="none" w:sz="0" w:space="0" w:color="auto"/>
      </w:divBdr>
      <w:divsChild>
        <w:div w:id="1968662588">
          <w:marLeft w:val="0"/>
          <w:marRight w:val="0"/>
          <w:marTop w:val="0"/>
          <w:marBottom w:val="0"/>
          <w:divBdr>
            <w:top w:val="none" w:sz="0" w:space="0" w:color="auto"/>
            <w:left w:val="none" w:sz="0" w:space="0" w:color="auto"/>
            <w:bottom w:val="none" w:sz="0" w:space="0" w:color="auto"/>
            <w:right w:val="none" w:sz="0" w:space="0" w:color="auto"/>
          </w:divBdr>
        </w:div>
        <w:div w:id="1812283870">
          <w:marLeft w:val="0"/>
          <w:marRight w:val="0"/>
          <w:marTop w:val="0"/>
          <w:marBottom w:val="0"/>
          <w:divBdr>
            <w:top w:val="none" w:sz="0" w:space="0" w:color="auto"/>
            <w:left w:val="none" w:sz="0" w:space="0" w:color="auto"/>
            <w:bottom w:val="none" w:sz="0" w:space="0" w:color="auto"/>
            <w:right w:val="none" w:sz="0" w:space="0" w:color="auto"/>
          </w:divBdr>
        </w:div>
      </w:divsChild>
    </w:div>
    <w:div w:id="189495883">
      <w:marLeft w:val="0"/>
      <w:marRight w:val="0"/>
      <w:marTop w:val="0"/>
      <w:marBottom w:val="0"/>
      <w:divBdr>
        <w:top w:val="none" w:sz="0" w:space="0" w:color="auto"/>
        <w:left w:val="none" w:sz="0" w:space="0" w:color="auto"/>
        <w:bottom w:val="none" w:sz="0" w:space="0" w:color="auto"/>
        <w:right w:val="none" w:sz="0" w:space="0" w:color="auto"/>
      </w:divBdr>
      <w:divsChild>
        <w:div w:id="15280151">
          <w:marLeft w:val="0"/>
          <w:marRight w:val="0"/>
          <w:marTop w:val="0"/>
          <w:marBottom w:val="0"/>
          <w:divBdr>
            <w:top w:val="none" w:sz="0" w:space="0" w:color="auto"/>
            <w:left w:val="none" w:sz="0" w:space="0" w:color="auto"/>
            <w:bottom w:val="none" w:sz="0" w:space="0" w:color="auto"/>
            <w:right w:val="none" w:sz="0" w:space="0" w:color="auto"/>
          </w:divBdr>
        </w:div>
        <w:div w:id="1018972995">
          <w:marLeft w:val="0"/>
          <w:marRight w:val="0"/>
          <w:marTop w:val="0"/>
          <w:marBottom w:val="0"/>
          <w:divBdr>
            <w:top w:val="none" w:sz="0" w:space="0" w:color="auto"/>
            <w:left w:val="none" w:sz="0" w:space="0" w:color="auto"/>
            <w:bottom w:val="none" w:sz="0" w:space="0" w:color="auto"/>
            <w:right w:val="none" w:sz="0" w:space="0" w:color="auto"/>
          </w:divBdr>
        </w:div>
      </w:divsChild>
    </w:div>
    <w:div w:id="191038719">
      <w:marLeft w:val="0"/>
      <w:marRight w:val="0"/>
      <w:marTop w:val="0"/>
      <w:marBottom w:val="0"/>
      <w:divBdr>
        <w:top w:val="none" w:sz="0" w:space="0" w:color="auto"/>
        <w:left w:val="none" w:sz="0" w:space="0" w:color="auto"/>
        <w:bottom w:val="none" w:sz="0" w:space="0" w:color="auto"/>
        <w:right w:val="none" w:sz="0" w:space="0" w:color="auto"/>
      </w:divBdr>
    </w:div>
    <w:div w:id="198712380">
      <w:marLeft w:val="0"/>
      <w:marRight w:val="0"/>
      <w:marTop w:val="0"/>
      <w:marBottom w:val="0"/>
      <w:divBdr>
        <w:top w:val="none" w:sz="0" w:space="0" w:color="auto"/>
        <w:left w:val="none" w:sz="0" w:space="0" w:color="auto"/>
        <w:bottom w:val="none" w:sz="0" w:space="0" w:color="auto"/>
        <w:right w:val="none" w:sz="0" w:space="0" w:color="auto"/>
      </w:divBdr>
    </w:div>
    <w:div w:id="205987899">
      <w:marLeft w:val="0"/>
      <w:marRight w:val="0"/>
      <w:marTop w:val="0"/>
      <w:marBottom w:val="0"/>
      <w:divBdr>
        <w:top w:val="none" w:sz="0" w:space="0" w:color="auto"/>
        <w:left w:val="none" w:sz="0" w:space="0" w:color="auto"/>
        <w:bottom w:val="none" w:sz="0" w:space="0" w:color="auto"/>
        <w:right w:val="none" w:sz="0" w:space="0" w:color="auto"/>
      </w:divBdr>
    </w:div>
    <w:div w:id="225411051">
      <w:marLeft w:val="0"/>
      <w:marRight w:val="0"/>
      <w:marTop w:val="0"/>
      <w:marBottom w:val="0"/>
      <w:divBdr>
        <w:top w:val="none" w:sz="0" w:space="0" w:color="auto"/>
        <w:left w:val="none" w:sz="0" w:space="0" w:color="auto"/>
        <w:bottom w:val="none" w:sz="0" w:space="0" w:color="auto"/>
        <w:right w:val="none" w:sz="0" w:space="0" w:color="auto"/>
      </w:divBdr>
    </w:div>
    <w:div w:id="239020649">
      <w:marLeft w:val="0"/>
      <w:marRight w:val="0"/>
      <w:marTop w:val="0"/>
      <w:marBottom w:val="0"/>
      <w:divBdr>
        <w:top w:val="none" w:sz="0" w:space="0" w:color="auto"/>
        <w:left w:val="none" w:sz="0" w:space="0" w:color="auto"/>
        <w:bottom w:val="none" w:sz="0" w:space="0" w:color="auto"/>
        <w:right w:val="none" w:sz="0" w:space="0" w:color="auto"/>
      </w:divBdr>
      <w:divsChild>
        <w:div w:id="1746877615">
          <w:marLeft w:val="0"/>
          <w:marRight w:val="0"/>
          <w:marTop w:val="0"/>
          <w:marBottom w:val="0"/>
          <w:divBdr>
            <w:top w:val="none" w:sz="0" w:space="0" w:color="auto"/>
            <w:left w:val="none" w:sz="0" w:space="0" w:color="auto"/>
            <w:bottom w:val="none" w:sz="0" w:space="0" w:color="auto"/>
            <w:right w:val="none" w:sz="0" w:space="0" w:color="auto"/>
          </w:divBdr>
        </w:div>
        <w:div w:id="856575069">
          <w:marLeft w:val="0"/>
          <w:marRight w:val="0"/>
          <w:marTop w:val="0"/>
          <w:marBottom w:val="0"/>
          <w:divBdr>
            <w:top w:val="none" w:sz="0" w:space="0" w:color="auto"/>
            <w:left w:val="none" w:sz="0" w:space="0" w:color="auto"/>
            <w:bottom w:val="none" w:sz="0" w:space="0" w:color="auto"/>
            <w:right w:val="none" w:sz="0" w:space="0" w:color="auto"/>
          </w:divBdr>
        </w:div>
        <w:div w:id="576718072">
          <w:marLeft w:val="0"/>
          <w:marRight w:val="0"/>
          <w:marTop w:val="0"/>
          <w:marBottom w:val="0"/>
          <w:divBdr>
            <w:top w:val="none" w:sz="0" w:space="0" w:color="auto"/>
            <w:left w:val="none" w:sz="0" w:space="0" w:color="auto"/>
            <w:bottom w:val="none" w:sz="0" w:space="0" w:color="auto"/>
            <w:right w:val="none" w:sz="0" w:space="0" w:color="auto"/>
          </w:divBdr>
        </w:div>
      </w:divsChild>
    </w:div>
    <w:div w:id="246692168">
      <w:marLeft w:val="0"/>
      <w:marRight w:val="0"/>
      <w:marTop w:val="0"/>
      <w:marBottom w:val="0"/>
      <w:divBdr>
        <w:top w:val="none" w:sz="0" w:space="0" w:color="auto"/>
        <w:left w:val="none" w:sz="0" w:space="0" w:color="auto"/>
        <w:bottom w:val="none" w:sz="0" w:space="0" w:color="auto"/>
        <w:right w:val="none" w:sz="0" w:space="0" w:color="auto"/>
      </w:divBdr>
    </w:div>
    <w:div w:id="305429976">
      <w:marLeft w:val="0"/>
      <w:marRight w:val="0"/>
      <w:marTop w:val="0"/>
      <w:marBottom w:val="0"/>
      <w:divBdr>
        <w:top w:val="none" w:sz="0" w:space="0" w:color="auto"/>
        <w:left w:val="none" w:sz="0" w:space="0" w:color="auto"/>
        <w:bottom w:val="none" w:sz="0" w:space="0" w:color="auto"/>
        <w:right w:val="none" w:sz="0" w:space="0" w:color="auto"/>
      </w:divBdr>
    </w:div>
    <w:div w:id="402534904">
      <w:marLeft w:val="0"/>
      <w:marRight w:val="0"/>
      <w:marTop w:val="0"/>
      <w:marBottom w:val="0"/>
      <w:divBdr>
        <w:top w:val="none" w:sz="0" w:space="0" w:color="auto"/>
        <w:left w:val="none" w:sz="0" w:space="0" w:color="auto"/>
        <w:bottom w:val="none" w:sz="0" w:space="0" w:color="auto"/>
        <w:right w:val="none" w:sz="0" w:space="0" w:color="auto"/>
      </w:divBdr>
      <w:divsChild>
        <w:div w:id="796341540">
          <w:marLeft w:val="0"/>
          <w:marRight w:val="0"/>
          <w:marTop w:val="0"/>
          <w:marBottom w:val="0"/>
          <w:divBdr>
            <w:top w:val="none" w:sz="0" w:space="0" w:color="auto"/>
            <w:left w:val="none" w:sz="0" w:space="0" w:color="auto"/>
            <w:bottom w:val="none" w:sz="0" w:space="0" w:color="auto"/>
            <w:right w:val="none" w:sz="0" w:space="0" w:color="auto"/>
          </w:divBdr>
          <w:divsChild>
            <w:div w:id="2007710771">
              <w:marLeft w:val="0"/>
              <w:marRight w:val="0"/>
              <w:marTop w:val="0"/>
              <w:marBottom w:val="0"/>
              <w:divBdr>
                <w:top w:val="none" w:sz="0" w:space="0" w:color="auto"/>
                <w:left w:val="none" w:sz="0" w:space="0" w:color="auto"/>
                <w:bottom w:val="none" w:sz="0" w:space="0" w:color="auto"/>
                <w:right w:val="none" w:sz="0" w:space="0" w:color="auto"/>
              </w:divBdr>
            </w:div>
            <w:div w:id="608926456">
              <w:marLeft w:val="0"/>
              <w:marRight w:val="0"/>
              <w:marTop w:val="0"/>
              <w:marBottom w:val="0"/>
              <w:divBdr>
                <w:top w:val="none" w:sz="0" w:space="0" w:color="auto"/>
                <w:left w:val="none" w:sz="0" w:space="0" w:color="auto"/>
                <w:bottom w:val="none" w:sz="0" w:space="0" w:color="auto"/>
                <w:right w:val="none" w:sz="0" w:space="0" w:color="auto"/>
              </w:divBdr>
            </w:div>
            <w:div w:id="2117754443">
              <w:marLeft w:val="0"/>
              <w:marRight w:val="0"/>
              <w:marTop w:val="0"/>
              <w:marBottom w:val="0"/>
              <w:divBdr>
                <w:top w:val="none" w:sz="0" w:space="0" w:color="auto"/>
                <w:left w:val="none" w:sz="0" w:space="0" w:color="auto"/>
                <w:bottom w:val="none" w:sz="0" w:space="0" w:color="auto"/>
                <w:right w:val="none" w:sz="0" w:space="0" w:color="auto"/>
              </w:divBdr>
            </w:div>
            <w:div w:id="83690679">
              <w:marLeft w:val="0"/>
              <w:marRight w:val="0"/>
              <w:marTop w:val="0"/>
              <w:marBottom w:val="0"/>
              <w:divBdr>
                <w:top w:val="none" w:sz="0" w:space="0" w:color="auto"/>
                <w:left w:val="none" w:sz="0" w:space="0" w:color="auto"/>
                <w:bottom w:val="none" w:sz="0" w:space="0" w:color="auto"/>
                <w:right w:val="none" w:sz="0" w:space="0" w:color="auto"/>
              </w:divBdr>
            </w:div>
            <w:div w:id="997806796">
              <w:marLeft w:val="0"/>
              <w:marRight w:val="0"/>
              <w:marTop w:val="0"/>
              <w:marBottom w:val="0"/>
              <w:divBdr>
                <w:top w:val="none" w:sz="0" w:space="0" w:color="auto"/>
                <w:left w:val="none" w:sz="0" w:space="0" w:color="auto"/>
                <w:bottom w:val="none" w:sz="0" w:space="0" w:color="auto"/>
                <w:right w:val="none" w:sz="0" w:space="0" w:color="auto"/>
              </w:divBdr>
            </w:div>
            <w:div w:id="1615821795">
              <w:marLeft w:val="0"/>
              <w:marRight w:val="0"/>
              <w:marTop w:val="0"/>
              <w:marBottom w:val="0"/>
              <w:divBdr>
                <w:top w:val="none" w:sz="0" w:space="0" w:color="auto"/>
                <w:left w:val="none" w:sz="0" w:space="0" w:color="auto"/>
                <w:bottom w:val="none" w:sz="0" w:space="0" w:color="auto"/>
                <w:right w:val="none" w:sz="0" w:space="0" w:color="auto"/>
              </w:divBdr>
            </w:div>
            <w:div w:id="1860504884">
              <w:marLeft w:val="0"/>
              <w:marRight w:val="0"/>
              <w:marTop w:val="0"/>
              <w:marBottom w:val="0"/>
              <w:divBdr>
                <w:top w:val="none" w:sz="0" w:space="0" w:color="auto"/>
                <w:left w:val="none" w:sz="0" w:space="0" w:color="auto"/>
                <w:bottom w:val="none" w:sz="0" w:space="0" w:color="auto"/>
                <w:right w:val="none" w:sz="0" w:space="0" w:color="auto"/>
              </w:divBdr>
            </w:div>
            <w:div w:id="1994789985">
              <w:marLeft w:val="0"/>
              <w:marRight w:val="0"/>
              <w:marTop w:val="0"/>
              <w:marBottom w:val="0"/>
              <w:divBdr>
                <w:top w:val="none" w:sz="0" w:space="0" w:color="auto"/>
                <w:left w:val="none" w:sz="0" w:space="0" w:color="auto"/>
                <w:bottom w:val="none" w:sz="0" w:space="0" w:color="auto"/>
                <w:right w:val="none" w:sz="0" w:space="0" w:color="auto"/>
              </w:divBdr>
            </w:div>
            <w:div w:id="1254168456">
              <w:marLeft w:val="0"/>
              <w:marRight w:val="0"/>
              <w:marTop w:val="0"/>
              <w:marBottom w:val="0"/>
              <w:divBdr>
                <w:top w:val="none" w:sz="0" w:space="0" w:color="auto"/>
                <w:left w:val="none" w:sz="0" w:space="0" w:color="auto"/>
                <w:bottom w:val="none" w:sz="0" w:space="0" w:color="auto"/>
                <w:right w:val="none" w:sz="0" w:space="0" w:color="auto"/>
              </w:divBdr>
            </w:div>
            <w:div w:id="1597785548">
              <w:marLeft w:val="0"/>
              <w:marRight w:val="0"/>
              <w:marTop w:val="0"/>
              <w:marBottom w:val="0"/>
              <w:divBdr>
                <w:top w:val="none" w:sz="0" w:space="0" w:color="auto"/>
                <w:left w:val="none" w:sz="0" w:space="0" w:color="auto"/>
                <w:bottom w:val="none" w:sz="0" w:space="0" w:color="auto"/>
                <w:right w:val="none" w:sz="0" w:space="0" w:color="auto"/>
              </w:divBdr>
            </w:div>
          </w:divsChild>
        </w:div>
        <w:div w:id="776027470">
          <w:marLeft w:val="0"/>
          <w:marRight w:val="0"/>
          <w:marTop w:val="0"/>
          <w:marBottom w:val="0"/>
          <w:divBdr>
            <w:top w:val="none" w:sz="0" w:space="0" w:color="auto"/>
            <w:left w:val="none" w:sz="0" w:space="0" w:color="auto"/>
            <w:bottom w:val="none" w:sz="0" w:space="0" w:color="auto"/>
            <w:right w:val="none" w:sz="0" w:space="0" w:color="auto"/>
          </w:divBdr>
          <w:divsChild>
            <w:div w:id="1142697052">
              <w:marLeft w:val="0"/>
              <w:marRight w:val="0"/>
              <w:marTop w:val="0"/>
              <w:marBottom w:val="0"/>
              <w:divBdr>
                <w:top w:val="none" w:sz="0" w:space="0" w:color="auto"/>
                <w:left w:val="none" w:sz="0" w:space="0" w:color="auto"/>
                <w:bottom w:val="none" w:sz="0" w:space="0" w:color="auto"/>
                <w:right w:val="none" w:sz="0" w:space="0" w:color="auto"/>
              </w:divBdr>
            </w:div>
            <w:div w:id="1369258460">
              <w:marLeft w:val="0"/>
              <w:marRight w:val="0"/>
              <w:marTop w:val="0"/>
              <w:marBottom w:val="0"/>
              <w:divBdr>
                <w:top w:val="none" w:sz="0" w:space="0" w:color="auto"/>
                <w:left w:val="none" w:sz="0" w:space="0" w:color="auto"/>
                <w:bottom w:val="none" w:sz="0" w:space="0" w:color="auto"/>
                <w:right w:val="none" w:sz="0" w:space="0" w:color="auto"/>
              </w:divBdr>
            </w:div>
            <w:div w:id="120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2766">
      <w:marLeft w:val="0"/>
      <w:marRight w:val="0"/>
      <w:marTop w:val="0"/>
      <w:marBottom w:val="0"/>
      <w:divBdr>
        <w:top w:val="none" w:sz="0" w:space="0" w:color="auto"/>
        <w:left w:val="none" w:sz="0" w:space="0" w:color="auto"/>
        <w:bottom w:val="none" w:sz="0" w:space="0" w:color="auto"/>
        <w:right w:val="none" w:sz="0" w:space="0" w:color="auto"/>
      </w:divBdr>
      <w:divsChild>
        <w:div w:id="132873361">
          <w:marLeft w:val="0"/>
          <w:marRight w:val="0"/>
          <w:marTop w:val="0"/>
          <w:marBottom w:val="0"/>
          <w:divBdr>
            <w:top w:val="none" w:sz="0" w:space="0" w:color="auto"/>
            <w:left w:val="none" w:sz="0" w:space="0" w:color="auto"/>
            <w:bottom w:val="none" w:sz="0" w:space="0" w:color="auto"/>
            <w:right w:val="none" w:sz="0" w:space="0" w:color="auto"/>
          </w:divBdr>
          <w:divsChild>
            <w:div w:id="19820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022">
      <w:marLeft w:val="0"/>
      <w:marRight w:val="0"/>
      <w:marTop w:val="0"/>
      <w:marBottom w:val="0"/>
      <w:divBdr>
        <w:top w:val="none" w:sz="0" w:space="0" w:color="auto"/>
        <w:left w:val="none" w:sz="0" w:space="0" w:color="auto"/>
        <w:bottom w:val="none" w:sz="0" w:space="0" w:color="auto"/>
        <w:right w:val="none" w:sz="0" w:space="0" w:color="auto"/>
      </w:divBdr>
    </w:div>
    <w:div w:id="691567625">
      <w:marLeft w:val="0"/>
      <w:marRight w:val="0"/>
      <w:marTop w:val="0"/>
      <w:marBottom w:val="0"/>
      <w:divBdr>
        <w:top w:val="none" w:sz="0" w:space="0" w:color="auto"/>
        <w:left w:val="none" w:sz="0" w:space="0" w:color="auto"/>
        <w:bottom w:val="none" w:sz="0" w:space="0" w:color="auto"/>
        <w:right w:val="none" w:sz="0" w:space="0" w:color="auto"/>
      </w:divBdr>
    </w:div>
    <w:div w:id="874923693">
      <w:marLeft w:val="0"/>
      <w:marRight w:val="0"/>
      <w:marTop w:val="0"/>
      <w:marBottom w:val="0"/>
      <w:divBdr>
        <w:top w:val="none" w:sz="0" w:space="0" w:color="auto"/>
        <w:left w:val="none" w:sz="0" w:space="0" w:color="auto"/>
        <w:bottom w:val="none" w:sz="0" w:space="0" w:color="auto"/>
        <w:right w:val="none" w:sz="0" w:space="0" w:color="auto"/>
      </w:divBdr>
    </w:div>
    <w:div w:id="900556086">
      <w:marLeft w:val="0"/>
      <w:marRight w:val="0"/>
      <w:marTop w:val="0"/>
      <w:marBottom w:val="0"/>
      <w:divBdr>
        <w:top w:val="none" w:sz="0" w:space="0" w:color="auto"/>
        <w:left w:val="none" w:sz="0" w:space="0" w:color="auto"/>
        <w:bottom w:val="none" w:sz="0" w:space="0" w:color="auto"/>
        <w:right w:val="none" w:sz="0" w:space="0" w:color="auto"/>
      </w:divBdr>
    </w:div>
    <w:div w:id="912929376">
      <w:marLeft w:val="0"/>
      <w:marRight w:val="0"/>
      <w:marTop w:val="0"/>
      <w:marBottom w:val="0"/>
      <w:divBdr>
        <w:top w:val="none" w:sz="0" w:space="0" w:color="auto"/>
        <w:left w:val="none" w:sz="0" w:space="0" w:color="auto"/>
        <w:bottom w:val="none" w:sz="0" w:space="0" w:color="auto"/>
        <w:right w:val="none" w:sz="0" w:space="0" w:color="auto"/>
      </w:divBdr>
    </w:div>
    <w:div w:id="953636054">
      <w:marLeft w:val="0"/>
      <w:marRight w:val="0"/>
      <w:marTop w:val="0"/>
      <w:marBottom w:val="0"/>
      <w:divBdr>
        <w:top w:val="none" w:sz="0" w:space="0" w:color="auto"/>
        <w:left w:val="none" w:sz="0" w:space="0" w:color="auto"/>
        <w:bottom w:val="none" w:sz="0" w:space="0" w:color="auto"/>
        <w:right w:val="none" w:sz="0" w:space="0" w:color="auto"/>
      </w:divBdr>
    </w:div>
    <w:div w:id="998581157">
      <w:marLeft w:val="0"/>
      <w:marRight w:val="0"/>
      <w:marTop w:val="0"/>
      <w:marBottom w:val="0"/>
      <w:divBdr>
        <w:top w:val="none" w:sz="0" w:space="0" w:color="auto"/>
        <w:left w:val="none" w:sz="0" w:space="0" w:color="auto"/>
        <w:bottom w:val="none" w:sz="0" w:space="0" w:color="auto"/>
        <w:right w:val="none" w:sz="0" w:space="0" w:color="auto"/>
      </w:divBdr>
      <w:divsChild>
        <w:div w:id="1828328011">
          <w:marLeft w:val="0"/>
          <w:marRight w:val="0"/>
          <w:marTop w:val="0"/>
          <w:marBottom w:val="0"/>
          <w:divBdr>
            <w:top w:val="none" w:sz="0" w:space="0" w:color="auto"/>
            <w:left w:val="none" w:sz="0" w:space="0" w:color="auto"/>
            <w:bottom w:val="none" w:sz="0" w:space="0" w:color="auto"/>
            <w:right w:val="none" w:sz="0" w:space="0" w:color="auto"/>
          </w:divBdr>
        </w:div>
        <w:div w:id="735053168">
          <w:marLeft w:val="0"/>
          <w:marRight w:val="0"/>
          <w:marTop w:val="0"/>
          <w:marBottom w:val="0"/>
          <w:divBdr>
            <w:top w:val="none" w:sz="0" w:space="0" w:color="auto"/>
            <w:left w:val="none" w:sz="0" w:space="0" w:color="auto"/>
            <w:bottom w:val="none" w:sz="0" w:space="0" w:color="auto"/>
            <w:right w:val="none" w:sz="0" w:space="0" w:color="auto"/>
          </w:divBdr>
        </w:div>
      </w:divsChild>
    </w:div>
    <w:div w:id="1021980236">
      <w:marLeft w:val="0"/>
      <w:marRight w:val="0"/>
      <w:marTop w:val="0"/>
      <w:marBottom w:val="0"/>
      <w:divBdr>
        <w:top w:val="none" w:sz="0" w:space="0" w:color="auto"/>
        <w:left w:val="none" w:sz="0" w:space="0" w:color="auto"/>
        <w:bottom w:val="none" w:sz="0" w:space="0" w:color="auto"/>
        <w:right w:val="none" w:sz="0" w:space="0" w:color="auto"/>
      </w:divBdr>
    </w:div>
    <w:div w:id="1083380926">
      <w:marLeft w:val="0"/>
      <w:marRight w:val="0"/>
      <w:marTop w:val="0"/>
      <w:marBottom w:val="0"/>
      <w:divBdr>
        <w:top w:val="none" w:sz="0" w:space="0" w:color="auto"/>
        <w:left w:val="none" w:sz="0" w:space="0" w:color="auto"/>
        <w:bottom w:val="none" w:sz="0" w:space="0" w:color="auto"/>
        <w:right w:val="none" w:sz="0" w:space="0" w:color="auto"/>
      </w:divBdr>
    </w:div>
    <w:div w:id="1086880504">
      <w:marLeft w:val="0"/>
      <w:marRight w:val="0"/>
      <w:marTop w:val="0"/>
      <w:marBottom w:val="0"/>
      <w:divBdr>
        <w:top w:val="none" w:sz="0" w:space="0" w:color="auto"/>
        <w:left w:val="none" w:sz="0" w:space="0" w:color="auto"/>
        <w:bottom w:val="none" w:sz="0" w:space="0" w:color="auto"/>
        <w:right w:val="none" w:sz="0" w:space="0" w:color="auto"/>
      </w:divBdr>
      <w:divsChild>
        <w:div w:id="27872889">
          <w:marLeft w:val="0"/>
          <w:marRight w:val="0"/>
          <w:marTop w:val="0"/>
          <w:marBottom w:val="0"/>
          <w:divBdr>
            <w:top w:val="none" w:sz="0" w:space="0" w:color="auto"/>
            <w:left w:val="none" w:sz="0" w:space="0" w:color="auto"/>
            <w:bottom w:val="none" w:sz="0" w:space="0" w:color="auto"/>
            <w:right w:val="none" w:sz="0" w:space="0" w:color="auto"/>
          </w:divBdr>
        </w:div>
        <w:div w:id="534655381">
          <w:marLeft w:val="0"/>
          <w:marRight w:val="0"/>
          <w:marTop w:val="0"/>
          <w:marBottom w:val="0"/>
          <w:divBdr>
            <w:top w:val="none" w:sz="0" w:space="0" w:color="auto"/>
            <w:left w:val="none" w:sz="0" w:space="0" w:color="auto"/>
            <w:bottom w:val="none" w:sz="0" w:space="0" w:color="auto"/>
            <w:right w:val="none" w:sz="0" w:space="0" w:color="auto"/>
          </w:divBdr>
        </w:div>
        <w:div w:id="775712363">
          <w:marLeft w:val="0"/>
          <w:marRight w:val="0"/>
          <w:marTop w:val="0"/>
          <w:marBottom w:val="0"/>
          <w:divBdr>
            <w:top w:val="none" w:sz="0" w:space="0" w:color="auto"/>
            <w:left w:val="none" w:sz="0" w:space="0" w:color="auto"/>
            <w:bottom w:val="none" w:sz="0" w:space="0" w:color="auto"/>
            <w:right w:val="none" w:sz="0" w:space="0" w:color="auto"/>
          </w:divBdr>
        </w:div>
        <w:div w:id="914783238">
          <w:marLeft w:val="0"/>
          <w:marRight w:val="0"/>
          <w:marTop w:val="0"/>
          <w:marBottom w:val="0"/>
          <w:divBdr>
            <w:top w:val="none" w:sz="0" w:space="0" w:color="auto"/>
            <w:left w:val="none" w:sz="0" w:space="0" w:color="auto"/>
            <w:bottom w:val="none" w:sz="0" w:space="0" w:color="auto"/>
            <w:right w:val="none" w:sz="0" w:space="0" w:color="auto"/>
          </w:divBdr>
        </w:div>
        <w:div w:id="410347646">
          <w:marLeft w:val="0"/>
          <w:marRight w:val="0"/>
          <w:marTop w:val="0"/>
          <w:marBottom w:val="0"/>
          <w:divBdr>
            <w:top w:val="none" w:sz="0" w:space="0" w:color="auto"/>
            <w:left w:val="none" w:sz="0" w:space="0" w:color="auto"/>
            <w:bottom w:val="none" w:sz="0" w:space="0" w:color="auto"/>
            <w:right w:val="none" w:sz="0" w:space="0" w:color="auto"/>
          </w:divBdr>
        </w:div>
        <w:div w:id="1248465898">
          <w:marLeft w:val="0"/>
          <w:marRight w:val="0"/>
          <w:marTop w:val="0"/>
          <w:marBottom w:val="0"/>
          <w:divBdr>
            <w:top w:val="none" w:sz="0" w:space="0" w:color="auto"/>
            <w:left w:val="none" w:sz="0" w:space="0" w:color="auto"/>
            <w:bottom w:val="none" w:sz="0" w:space="0" w:color="auto"/>
            <w:right w:val="none" w:sz="0" w:space="0" w:color="auto"/>
          </w:divBdr>
        </w:div>
      </w:divsChild>
    </w:div>
    <w:div w:id="1111049449">
      <w:marLeft w:val="0"/>
      <w:marRight w:val="0"/>
      <w:marTop w:val="0"/>
      <w:marBottom w:val="0"/>
      <w:divBdr>
        <w:top w:val="none" w:sz="0" w:space="0" w:color="auto"/>
        <w:left w:val="none" w:sz="0" w:space="0" w:color="auto"/>
        <w:bottom w:val="none" w:sz="0" w:space="0" w:color="auto"/>
        <w:right w:val="none" w:sz="0" w:space="0" w:color="auto"/>
      </w:divBdr>
    </w:div>
    <w:div w:id="1326281921">
      <w:marLeft w:val="0"/>
      <w:marRight w:val="0"/>
      <w:marTop w:val="0"/>
      <w:marBottom w:val="0"/>
      <w:divBdr>
        <w:top w:val="none" w:sz="0" w:space="0" w:color="auto"/>
        <w:left w:val="none" w:sz="0" w:space="0" w:color="auto"/>
        <w:bottom w:val="none" w:sz="0" w:space="0" w:color="auto"/>
        <w:right w:val="none" w:sz="0" w:space="0" w:color="auto"/>
      </w:divBdr>
    </w:div>
    <w:div w:id="1362777887">
      <w:marLeft w:val="0"/>
      <w:marRight w:val="0"/>
      <w:marTop w:val="0"/>
      <w:marBottom w:val="0"/>
      <w:divBdr>
        <w:top w:val="none" w:sz="0" w:space="0" w:color="auto"/>
        <w:left w:val="none" w:sz="0" w:space="0" w:color="auto"/>
        <w:bottom w:val="none" w:sz="0" w:space="0" w:color="auto"/>
        <w:right w:val="none" w:sz="0" w:space="0" w:color="auto"/>
      </w:divBdr>
    </w:div>
    <w:div w:id="1396388663">
      <w:marLeft w:val="0"/>
      <w:marRight w:val="0"/>
      <w:marTop w:val="0"/>
      <w:marBottom w:val="0"/>
      <w:divBdr>
        <w:top w:val="none" w:sz="0" w:space="0" w:color="auto"/>
        <w:left w:val="none" w:sz="0" w:space="0" w:color="auto"/>
        <w:bottom w:val="none" w:sz="0" w:space="0" w:color="auto"/>
        <w:right w:val="none" w:sz="0" w:space="0" w:color="auto"/>
      </w:divBdr>
      <w:divsChild>
        <w:div w:id="161940761">
          <w:marLeft w:val="0"/>
          <w:marRight w:val="0"/>
          <w:marTop w:val="0"/>
          <w:marBottom w:val="0"/>
          <w:divBdr>
            <w:top w:val="none" w:sz="0" w:space="0" w:color="auto"/>
            <w:left w:val="none" w:sz="0" w:space="0" w:color="auto"/>
            <w:bottom w:val="none" w:sz="0" w:space="0" w:color="auto"/>
            <w:right w:val="none" w:sz="0" w:space="0" w:color="auto"/>
          </w:divBdr>
        </w:div>
      </w:divsChild>
    </w:div>
    <w:div w:id="1535192267">
      <w:marLeft w:val="0"/>
      <w:marRight w:val="0"/>
      <w:marTop w:val="0"/>
      <w:marBottom w:val="0"/>
      <w:divBdr>
        <w:top w:val="none" w:sz="0" w:space="0" w:color="auto"/>
        <w:left w:val="none" w:sz="0" w:space="0" w:color="auto"/>
        <w:bottom w:val="none" w:sz="0" w:space="0" w:color="auto"/>
        <w:right w:val="none" w:sz="0" w:space="0" w:color="auto"/>
      </w:divBdr>
    </w:div>
    <w:div w:id="1546329947">
      <w:marLeft w:val="0"/>
      <w:marRight w:val="0"/>
      <w:marTop w:val="0"/>
      <w:marBottom w:val="0"/>
      <w:divBdr>
        <w:top w:val="none" w:sz="0" w:space="0" w:color="auto"/>
        <w:left w:val="none" w:sz="0" w:space="0" w:color="auto"/>
        <w:bottom w:val="none" w:sz="0" w:space="0" w:color="auto"/>
        <w:right w:val="none" w:sz="0" w:space="0" w:color="auto"/>
      </w:divBdr>
      <w:divsChild>
        <w:div w:id="1577397507">
          <w:marLeft w:val="0"/>
          <w:marRight w:val="0"/>
          <w:marTop w:val="0"/>
          <w:marBottom w:val="0"/>
          <w:divBdr>
            <w:top w:val="none" w:sz="0" w:space="0" w:color="auto"/>
            <w:left w:val="none" w:sz="0" w:space="0" w:color="auto"/>
            <w:bottom w:val="none" w:sz="0" w:space="0" w:color="auto"/>
            <w:right w:val="none" w:sz="0" w:space="0" w:color="auto"/>
          </w:divBdr>
        </w:div>
      </w:divsChild>
    </w:div>
    <w:div w:id="1559777047">
      <w:marLeft w:val="0"/>
      <w:marRight w:val="0"/>
      <w:marTop w:val="0"/>
      <w:marBottom w:val="0"/>
      <w:divBdr>
        <w:top w:val="none" w:sz="0" w:space="0" w:color="auto"/>
        <w:left w:val="none" w:sz="0" w:space="0" w:color="auto"/>
        <w:bottom w:val="none" w:sz="0" w:space="0" w:color="auto"/>
        <w:right w:val="none" w:sz="0" w:space="0" w:color="auto"/>
      </w:divBdr>
    </w:div>
    <w:div w:id="1592079848">
      <w:marLeft w:val="0"/>
      <w:marRight w:val="0"/>
      <w:marTop w:val="0"/>
      <w:marBottom w:val="0"/>
      <w:divBdr>
        <w:top w:val="none" w:sz="0" w:space="0" w:color="auto"/>
        <w:left w:val="none" w:sz="0" w:space="0" w:color="auto"/>
        <w:bottom w:val="none" w:sz="0" w:space="0" w:color="auto"/>
        <w:right w:val="none" w:sz="0" w:space="0" w:color="auto"/>
      </w:divBdr>
      <w:divsChild>
        <w:div w:id="2025745898">
          <w:marLeft w:val="0"/>
          <w:marRight w:val="0"/>
          <w:marTop w:val="0"/>
          <w:marBottom w:val="0"/>
          <w:divBdr>
            <w:top w:val="none" w:sz="0" w:space="0" w:color="auto"/>
            <w:left w:val="none" w:sz="0" w:space="0" w:color="auto"/>
            <w:bottom w:val="none" w:sz="0" w:space="0" w:color="auto"/>
            <w:right w:val="none" w:sz="0" w:space="0" w:color="auto"/>
          </w:divBdr>
        </w:div>
      </w:divsChild>
    </w:div>
    <w:div w:id="1601837117">
      <w:marLeft w:val="0"/>
      <w:marRight w:val="0"/>
      <w:marTop w:val="0"/>
      <w:marBottom w:val="0"/>
      <w:divBdr>
        <w:top w:val="none" w:sz="0" w:space="0" w:color="auto"/>
        <w:left w:val="none" w:sz="0" w:space="0" w:color="auto"/>
        <w:bottom w:val="none" w:sz="0" w:space="0" w:color="auto"/>
        <w:right w:val="none" w:sz="0" w:space="0" w:color="auto"/>
      </w:divBdr>
    </w:div>
    <w:div w:id="1814447589">
      <w:marLeft w:val="0"/>
      <w:marRight w:val="0"/>
      <w:marTop w:val="0"/>
      <w:marBottom w:val="0"/>
      <w:divBdr>
        <w:top w:val="none" w:sz="0" w:space="0" w:color="auto"/>
        <w:left w:val="none" w:sz="0" w:space="0" w:color="auto"/>
        <w:bottom w:val="none" w:sz="0" w:space="0" w:color="auto"/>
        <w:right w:val="none" w:sz="0" w:space="0" w:color="auto"/>
      </w:divBdr>
    </w:div>
    <w:div w:id="1887063613">
      <w:marLeft w:val="0"/>
      <w:marRight w:val="0"/>
      <w:marTop w:val="0"/>
      <w:marBottom w:val="0"/>
      <w:divBdr>
        <w:top w:val="none" w:sz="0" w:space="0" w:color="auto"/>
        <w:left w:val="none" w:sz="0" w:space="0" w:color="auto"/>
        <w:bottom w:val="none" w:sz="0" w:space="0" w:color="auto"/>
        <w:right w:val="none" w:sz="0" w:space="0" w:color="auto"/>
      </w:divBdr>
    </w:div>
    <w:div w:id="1958943611">
      <w:marLeft w:val="0"/>
      <w:marRight w:val="0"/>
      <w:marTop w:val="0"/>
      <w:marBottom w:val="0"/>
      <w:divBdr>
        <w:top w:val="none" w:sz="0" w:space="0" w:color="auto"/>
        <w:left w:val="none" w:sz="0" w:space="0" w:color="auto"/>
        <w:bottom w:val="none" w:sz="0" w:space="0" w:color="auto"/>
        <w:right w:val="none" w:sz="0" w:space="0" w:color="auto"/>
      </w:divBdr>
      <w:divsChild>
        <w:div w:id="1230766780">
          <w:marLeft w:val="0"/>
          <w:marRight w:val="0"/>
          <w:marTop w:val="0"/>
          <w:marBottom w:val="0"/>
          <w:divBdr>
            <w:top w:val="none" w:sz="0" w:space="0" w:color="auto"/>
            <w:left w:val="none" w:sz="0" w:space="0" w:color="auto"/>
            <w:bottom w:val="none" w:sz="0" w:space="0" w:color="auto"/>
            <w:right w:val="none" w:sz="0" w:space="0" w:color="auto"/>
          </w:divBdr>
        </w:div>
      </w:divsChild>
    </w:div>
    <w:div w:id="1990360489">
      <w:marLeft w:val="0"/>
      <w:marRight w:val="0"/>
      <w:marTop w:val="0"/>
      <w:marBottom w:val="0"/>
      <w:divBdr>
        <w:top w:val="none" w:sz="0" w:space="0" w:color="auto"/>
        <w:left w:val="none" w:sz="0" w:space="0" w:color="auto"/>
        <w:bottom w:val="none" w:sz="0" w:space="0" w:color="auto"/>
        <w:right w:val="none" w:sz="0" w:space="0" w:color="auto"/>
      </w:divBdr>
      <w:divsChild>
        <w:div w:id="2006739246">
          <w:marLeft w:val="0"/>
          <w:marRight w:val="0"/>
          <w:marTop w:val="0"/>
          <w:marBottom w:val="0"/>
          <w:divBdr>
            <w:top w:val="none" w:sz="0" w:space="0" w:color="auto"/>
            <w:left w:val="none" w:sz="0" w:space="0" w:color="auto"/>
            <w:bottom w:val="none" w:sz="0" w:space="0" w:color="auto"/>
            <w:right w:val="none" w:sz="0" w:space="0" w:color="auto"/>
          </w:divBdr>
        </w:div>
      </w:divsChild>
    </w:div>
    <w:div w:id="2010407100">
      <w:marLeft w:val="0"/>
      <w:marRight w:val="0"/>
      <w:marTop w:val="0"/>
      <w:marBottom w:val="0"/>
      <w:divBdr>
        <w:top w:val="none" w:sz="0" w:space="0" w:color="auto"/>
        <w:left w:val="none" w:sz="0" w:space="0" w:color="auto"/>
        <w:bottom w:val="none" w:sz="0" w:space="0" w:color="auto"/>
        <w:right w:val="none" w:sz="0" w:space="0" w:color="auto"/>
      </w:divBdr>
    </w:div>
    <w:div w:id="2031950130">
      <w:marLeft w:val="0"/>
      <w:marRight w:val="0"/>
      <w:marTop w:val="0"/>
      <w:marBottom w:val="0"/>
      <w:divBdr>
        <w:top w:val="none" w:sz="0" w:space="0" w:color="auto"/>
        <w:left w:val="none" w:sz="0" w:space="0" w:color="auto"/>
        <w:bottom w:val="none" w:sz="0" w:space="0" w:color="auto"/>
        <w:right w:val="none" w:sz="0" w:space="0" w:color="auto"/>
      </w:divBdr>
    </w:div>
    <w:div w:id="2091996453">
      <w:marLeft w:val="0"/>
      <w:marRight w:val="0"/>
      <w:marTop w:val="0"/>
      <w:marBottom w:val="0"/>
      <w:divBdr>
        <w:top w:val="none" w:sz="0" w:space="0" w:color="auto"/>
        <w:left w:val="none" w:sz="0" w:space="0" w:color="auto"/>
        <w:bottom w:val="none" w:sz="0" w:space="0" w:color="auto"/>
        <w:right w:val="none" w:sz="0" w:space="0" w:color="auto"/>
      </w:divBdr>
      <w:divsChild>
        <w:div w:id="667946483">
          <w:marLeft w:val="0"/>
          <w:marRight w:val="0"/>
          <w:marTop w:val="0"/>
          <w:marBottom w:val="0"/>
          <w:divBdr>
            <w:top w:val="none" w:sz="0" w:space="0" w:color="auto"/>
            <w:left w:val="none" w:sz="0" w:space="0" w:color="auto"/>
            <w:bottom w:val="none" w:sz="0" w:space="0" w:color="auto"/>
            <w:right w:val="none" w:sz="0" w:space="0" w:color="auto"/>
          </w:divBdr>
        </w:div>
        <w:div w:id="1240869898">
          <w:marLeft w:val="0"/>
          <w:marRight w:val="0"/>
          <w:marTop w:val="0"/>
          <w:marBottom w:val="0"/>
          <w:divBdr>
            <w:top w:val="none" w:sz="0" w:space="0" w:color="auto"/>
            <w:left w:val="none" w:sz="0" w:space="0" w:color="auto"/>
            <w:bottom w:val="none" w:sz="0" w:space="0" w:color="auto"/>
            <w:right w:val="none" w:sz="0" w:space="0" w:color="auto"/>
          </w:divBdr>
        </w:div>
        <w:div w:id="245575763">
          <w:marLeft w:val="0"/>
          <w:marRight w:val="0"/>
          <w:marTop w:val="0"/>
          <w:marBottom w:val="0"/>
          <w:divBdr>
            <w:top w:val="none" w:sz="0" w:space="0" w:color="auto"/>
            <w:left w:val="none" w:sz="0" w:space="0" w:color="auto"/>
            <w:bottom w:val="none" w:sz="0" w:space="0" w:color="auto"/>
            <w:right w:val="none" w:sz="0" w:space="0" w:color="auto"/>
          </w:divBdr>
        </w:div>
        <w:div w:id="64769613">
          <w:marLeft w:val="0"/>
          <w:marRight w:val="0"/>
          <w:marTop w:val="0"/>
          <w:marBottom w:val="0"/>
          <w:divBdr>
            <w:top w:val="none" w:sz="0" w:space="0" w:color="auto"/>
            <w:left w:val="none" w:sz="0" w:space="0" w:color="auto"/>
            <w:bottom w:val="none" w:sz="0" w:space="0" w:color="auto"/>
            <w:right w:val="none" w:sz="0" w:space="0" w:color="auto"/>
          </w:divBdr>
        </w:div>
      </w:divsChild>
    </w:div>
    <w:div w:id="2118482582">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social/main.jsp?catId=1223" TargetMode="External"/><Relationship Id="rId18" Type="http://schemas.openxmlformats.org/officeDocument/2006/relationships/hyperlink" Target="http://www.siov.sk/Clanok.aspx?ArticleID=268" TargetMode="External"/><Relationship Id="rId26" Type="http://schemas.openxmlformats.org/officeDocument/2006/relationships/hyperlink" Target="http://www.statpedu.sk/files/sk/publikacna-cinnost/publikacie/incheonska-deklaracia_vzdelavanie-2030.pdf" TargetMode="External"/><Relationship Id="rId39" Type="http://schemas.openxmlformats.org/officeDocument/2006/relationships/hyperlink" Target="http://www.siov.sk/Clanok.aspx?ArticleID=268" TargetMode="External"/><Relationship Id="rId21" Type="http://schemas.openxmlformats.org/officeDocument/2006/relationships/hyperlink" Target="file:///C:/Users/Lenovo/Desktop/praca/SU/DEI/OPII_SU_DEI%20Alt%20E%2020180315%20Alt%20E%20META%20IS-2.docx" TargetMode="External"/><Relationship Id="rId34" Type="http://schemas.openxmlformats.org/officeDocument/2006/relationships/hyperlink" Target="file:///C:/Users/Lenovo/Desktop/praca/SU/DEI/OPII_SU_DEI%20Alt%20E%2020180315%20Alt%20E%20META%20IS-2.docx" TargetMode="External"/><Relationship Id="rId42" Type="http://schemas.openxmlformats.org/officeDocument/2006/relationships/hyperlink" Target="http://www.infostat.sk/vdc/sk/index.php?option=com_wrapper&amp;view=wrapper&amp;Itemid=60" TargetMode="External"/><Relationship Id="rId47" Type="http://schemas.openxmlformats.org/officeDocument/2006/relationships/image" Target="media/image9.png"/><Relationship Id="rId50" Type="http://schemas.openxmlformats.org/officeDocument/2006/relationships/image" Target="media/image12.tmp"/><Relationship Id="rId55" Type="http://schemas.openxmlformats.org/officeDocument/2006/relationships/hyperlink" Target="http://www.infostat.sk/vdc/sk/index.php?option=com_wrapper&amp;view=wrapper&amp;Itemid=60" TargetMode="External"/><Relationship Id="rId7" Type="http://schemas.openxmlformats.org/officeDocument/2006/relationships/hyperlink" Target="https://www.upsvr.gov.sk/buxus/docs/statistic/aotp_2017/Vyhodnotenie_AOTP_2017.pdf" TargetMode="External"/><Relationship Id="rId12" Type="http://schemas.openxmlformats.org/officeDocument/2006/relationships/hyperlink" Target="http://ec.europa.eu/social/main.jsp?catId=1223" TargetMode="External"/><Relationship Id="rId17" Type="http://schemas.openxmlformats.org/officeDocument/2006/relationships/hyperlink" Target="file:///C:/Users/Viera/Desktop/Projekty/DEI/UPPVII/SU/Varianta%20E%20oddelen%C3%A9%20projekty%20informatika/SU/Pripomienky%203.%20kolo%2020181115/D%C3%B4vod.mht" TargetMode="External"/><Relationship Id="rId25" Type="http://schemas.openxmlformats.org/officeDocument/2006/relationships/hyperlink" Target="file:///C:/Users/Lenovo/Desktop/praca/SU/DEI/OPII_SU_DEI%20Alt%20E%2020180315%20Alt%20E%20META%20IS-2.docx" TargetMode="External"/><Relationship Id="rId33" Type="http://schemas.openxmlformats.org/officeDocument/2006/relationships/hyperlink" Target="https://www.opii.gov.sk/strategicke-dokumenty/op-integrovana-infrastruktura" TargetMode="External"/><Relationship Id="rId38" Type="http://schemas.openxmlformats.org/officeDocument/2006/relationships/image" Target="media/image3.tmp"/><Relationship Id="rId46" Type="http://schemas.openxmlformats.org/officeDocument/2006/relationships/image" Target="media/image8.tmp"/><Relationship Id="rId2" Type="http://schemas.openxmlformats.org/officeDocument/2006/relationships/styles" Target="styles.xml"/><Relationship Id="rId16" Type="http://schemas.openxmlformats.org/officeDocument/2006/relationships/image" Target="media/image1.tmp"/><Relationship Id="rId20" Type="http://schemas.openxmlformats.org/officeDocument/2006/relationships/hyperlink" Target="http://www.digital-agenda-data.eu/" TargetMode="External"/><Relationship Id="rId29" Type="http://schemas.openxmlformats.org/officeDocument/2006/relationships/hyperlink" Target="http://publications.jrc.ec.europa.eu/repository/bitstream/JRC110624/dc_guide_may18.pdf" TargetMode="External"/><Relationship Id="rId41" Type="http://schemas.openxmlformats.org/officeDocument/2006/relationships/image" Target="media/image4.tmp"/><Relationship Id="rId54" Type="http://schemas.openxmlformats.org/officeDocument/2006/relationships/hyperlink" Target="http://datacube.statistics.sk/" TargetMode="External"/><Relationship Id="rId1" Type="http://schemas.openxmlformats.org/officeDocument/2006/relationships/numbering" Target="numbering.xml"/><Relationship Id="rId6" Type="http://schemas.openxmlformats.org/officeDocument/2006/relationships/hyperlink" Target="http://www.digital-agenda-data.eu/" TargetMode="External"/><Relationship Id="rId11" Type="http://schemas.openxmlformats.org/officeDocument/2006/relationships/hyperlink" Target="https://eur-lex.europa.eu/legal-content/SK/TXT/PDF/?uri=CELEX:32018H0604(01)&amp;from=EN" TargetMode="External"/><Relationship Id="rId24" Type="http://schemas.openxmlformats.org/officeDocument/2006/relationships/hyperlink" Target="http://pmb.cereq.fr/doc_num.php?explnum_id=4268" TargetMode="External"/><Relationship Id="rId32" Type="http://schemas.openxmlformats.org/officeDocument/2006/relationships/hyperlink" Target="file:///C:/Users/Lenovo/Desktop/praca/SU/DEI/OPII_SU_DEI%20Alt%20E%2020180315%20Alt%20E%20META%20IS-2.docx" TargetMode="External"/><Relationship Id="rId37" Type="http://schemas.openxmlformats.org/officeDocument/2006/relationships/hyperlink" Target="http://www.siov.sk/Clanok.aspx?ArticleID=268" TargetMode="External"/><Relationship Id="rId40" Type="http://schemas.openxmlformats.org/officeDocument/2006/relationships/hyperlink" Target="http://www.siov.sk/Clanok.aspx?ArticleID=268" TargetMode="External"/><Relationship Id="rId45" Type="http://schemas.openxmlformats.org/officeDocument/2006/relationships/image" Target="media/image7.tmp"/><Relationship Id="rId53" Type="http://schemas.openxmlformats.org/officeDocument/2006/relationships/hyperlink" Target="https://www.gmetrix.com/Products/ProductDescription/MOS-2016-Practice-Tests-Full-Suite" TargetMode="External"/><Relationship Id="rId5" Type="http://schemas.openxmlformats.org/officeDocument/2006/relationships/hyperlink" Target="http://www.siov.sk/Clanok.aspx?ArticleID=268" TargetMode="External"/><Relationship Id="rId15" Type="http://schemas.openxmlformats.org/officeDocument/2006/relationships/hyperlink" Target="http://www.infostat.sk/vdc/sk/index.php?option=com_wrapper&amp;view=wrapper&amp;Itemid=60" TargetMode="External"/><Relationship Id="rId23" Type="http://schemas.openxmlformats.org/officeDocument/2006/relationships/hyperlink" Target="file:///C:/Users/Lenovo/Desktop/praca/SU/DEI/OPII_SU_DEI%20Alt%20E%2020180315%20Alt%20E%20META%20IS-2.docx" TargetMode="External"/><Relationship Id="rId28" Type="http://schemas.openxmlformats.org/officeDocument/2006/relationships/hyperlink" Target="file:///C:/Users/Lenovo/Desktop/praca/SU/DEI/OPII_SU_DEI%20Alt%20E%2020180315%20Alt%20E%20META%20IS-2.docx" TargetMode="External"/><Relationship Id="rId36" Type="http://schemas.openxmlformats.org/officeDocument/2006/relationships/image" Target="media/image2.tmp"/><Relationship Id="rId49" Type="http://schemas.openxmlformats.org/officeDocument/2006/relationships/image" Target="media/image11.tmp"/><Relationship Id="rId57" Type="http://schemas.openxmlformats.org/officeDocument/2006/relationships/theme" Target="theme/theme1.xml"/><Relationship Id="rId10" Type="http://schemas.openxmlformats.org/officeDocument/2006/relationships/hyperlink" Target="http://publications.jrc.ec.europa.eu/repository/bitstream/JRC110624/dc_guide_may18.pdf" TargetMode="External"/><Relationship Id="rId19" Type="http://schemas.openxmlformats.org/officeDocument/2006/relationships/hyperlink" Target="file:///C:/Users/Viera/Desktop/Projekty/DEI/UPPVII/SU/Varianta%20E%20oddelen%C3%A9%20projekty%20informatika/SU/Pripomienky%203.%20kolo%2020181115/D%C3%B4vod.mht" TargetMode="External"/><Relationship Id="rId31" Type="http://schemas.openxmlformats.org/officeDocument/2006/relationships/hyperlink" Target="https://ec.europa.eu/social/main.jsp?catId=1223" TargetMode="External"/><Relationship Id="rId44" Type="http://schemas.openxmlformats.org/officeDocument/2006/relationships/image" Target="media/image6.tmp"/><Relationship Id="rId52" Type="http://schemas.openxmlformats.org/officeDocument/2006/relationships/hyperlink" Target="https://www.test4u.eu/en/e-tests/test-3-in-1-word-excel-internet-en" TargetMode="External"/><Relationship Id="rId4" Type="http://schemas.openxmlformats.org/officeDocument/2006/relationships/webSettings" Target="webSettings.xml"/><Relationship Id="rId9" Type="http://schemas.openxmlformats.org/officeDocument/2006/relationships/hyperlink" Target="http://www.statpedu.sk/files/sk/publikacna-cinnost/publikacie/incheonska-deklaracia_vzdelavanie-2030.pdf" TargetMode="External"/><Relationship Id="rId14" Type="http://schemas.openxmlformats.org/officeDocument/2006/relationships/hyperlink" Target="http://ec.europa.eu/social/main.jsp?catId=1223&amp;langId=en&amp;moreDocuments=yes" TargetMode="External"/><Relationship Id="rId22" Type="http://schemas.openxmlformats.org/officeDocument/2006/relationships/hyperlink" Target="https://www.upsvr.gov.sk/buxus/docs/statistic/aotp_2016/Vyhodnotenie_AOTP_2016.pdf" TargetMode="External"/><Relationship Id="rId27" Type="http://schemas.openxmlformats.org/officeDocument/2006/relationships/hyperlink" Target="file:///C:/Users/Viera/Desktop/Projekty/DEI/UPPVII/SU/Varianta%20E%20oddelen%C3%A9%20projekty%20informatika/SU/SU-MD-su_117%2020181021.mht" TargetMode="External"/><Relationship Id="rId30" Type="http://schemas.openxmlformats.org/officeDocument/2006/relationships/hyperlink" Target="file:///C:/Users/Lenovo/Desktop/praca/SU/DEI/OPII_SU_DEI%20Alt%20E%2020180315%20Alt%20E%20META%20IS-2.docx" TargetMode="External"/><Relationship Id="rId35" Type="http://schemas.openxmlformats.org/officeDocument/2006/relationships/hyperlink" Target="http://www.infostat.sk/vdc/sk/index.php?option=com_wrapper&amp;view=wrapper&amp;Itemid=60" TargetMode="External"/><Relationship Id="rId43" Type="http://schemas.openxmlformats.org/officeDocument/2006/relationships/image" Target="media/image5.tmp"/><Relationship Id="rId48" Type="http://schemas.openxmlformats.org/officeDocument/2006/relationships/image" Target="media/image10.tmp"/><Relationship Id="rId56" Type="http://schemas.openxmlformats.org/officeDocument/2006/relationships/fontTable" Target="fontTable.xml"/><Relationship Id="rId8" Type="http://schemas.openxmlformats.org/officeDocument/2006/relationships/hyperlink" Target="http://pmb.cereq.fr/doc_num.php?explnum_id=4268" TargetMode="External"/><Relationship Id="rId51" Type="http://schemas.openxmlformats.org/officeDocument/2006/relationships/hyperlink" Target="https://www.measureup.com/catalogsearch/result/?cat=&amp;q=MS+Office+Practice+Test+Bundle" TargetMode="External"/><Relationship Id="rId3"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24840</Words>
  <Characters>141588</Characters>
  <Application>Microsoft Office Word</Application>
  <DocSecurity>0</DocSecurity>
  <Lines>1179</Lines>
  <Paragraphs>332</Paragraphs>
  <ScaleCrop>false</ScaleCrop>
  <HeadingPairs>
    <vt:vector size="2" baseType="variant">
      <vt:variant>
        <vt:lpstr>Názov</vt:lpstr>
      </vt:variant>
      <vt:variant>
        <vt:i4>1</vt:i4>
      </vt:variant>
    </vt:vector>
  </HeadingPairs>
  <TitlesOfParts>
    <vt:vector size="1" baseType="lpstr">
      <vt:lpstr>SU-MD-su_117</vt:lpstr>
    </vt:vector>
  </TitlesOfParts>
  <Company/>
  <LinksUpToDate>false</LinksUpToDate>
  <CharactersWithSpaces>166096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SU-MD-su_117</dc:title>
  <dc:subject/>
  <dc:creator>X</dc:creator>
  <cp:keywords/>
  <dc:description/>
  <cp:lastModifiedBy>X</cp:lastModifiedBy>
  <cp:revision>2</cp:revision>
  <dcterms:created xsi:type="dcterms:W3CDTF">2019-01-23T19:28:00Z</dcterms:created>
  <dcterms:modified xsi:type="dcterms:W3CDTF">2019-01-23T19:28:00Z</dcterms:modified>
</cp:coreProperties>
</file>