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3C" w:rsidRPr="00BC32E1" w:rsidRDefault="00BC32E1" w:rsidP="00BC32E1">
      <w:pPr>
        <w:pStyle w:val="Heading1"/>
        <w:jc w:val="center"/>
        <w:rPr>
          <w:b/>
          <w:color w:val="auto"/>
        </w:rPr>
      </w:pPr>
      <w:r w:rsidRPr="00BC32E1">
        <w:rPr>
          <w:b/>
          <w:color w:val="auto"/>
        </w:rPr>
        <w:t xml:space="preserve">Stanovisko </w:t>
      </w:r>
      <w:r w:rsidR="009B5EDF">
        <w:rPr>
          <w:b/>
          <w:color w:val="auto"/>
        </w:rPr>
        <w:t xml:space="preserve">ITAS </w:t>
      </w:r>
      <w:r w:rsidRPr="00BC32E1">
        <w:rPr>
          <w:b/>
          <w:color w:val="auto"/>
        </w:rPr>
        <w:t xml:space="preserve">ku zámeru Mobilné ID v gescii </w:t>
      </w:r>
      <w:r w:rsidR="009B5EDF">
        <w:rPr>
          <w:b/>
          <w:color w:val="auto"/>
        </w:rPr>
        <w:t xml:space="preserve">UPVII prezentované </w:t>
      </w:r>
      <w:r w:rsidRPr="00BC32E1">
        <w:rPr>
          <w:b/>
          <w:color w:val="auto"/>
        </w:rPr>
        <w:t>NASES</w:t>
      </w:r>
    </w:p>
    <w:p w:rsidR="00BC32E1" w:rsidRDefault="00BC32E1" w:rsidP="00BC32E1">
      <w:pPr>
        <w:jc w:val="center"/>
      </w:pPr>
    </w:p>
    <w:p w:rsidR="00202B14" w:rsidRDefault="009B5EDF" w:rsidP="00202B14">
      <w:pPr>
        <w:jc w:val="both"/>
      </w:pPr>
      <w:r>
        <w:t xml:space="preserve">Na základe poverenia od UPVII prezentovala </w:t>
      </w:r>
      <w:r w:rsidR="00BC32E1">
        <w:t>Národná agentúra pre sieťové a elektronické služby (NASES) zámer</w:t>
      </w:r>
      <w:r>
        <w:t>,</w:t>
      </w:r>
      <w:r w:rsidR="00DC24F7">
        <w:t xml:space="preserve"> čo najskôr</w:t>
      </w:r>
      <w:r w:rsidR="00BC32E1">
        <w:t xml:space="preserve"> implementovať tzv. Mobilné ID s</w:t>
      </w:r>
      <w:r w:rsidR="00DC24F7">
        <w:t> </w:t>
      </w:r>
      <w:r w:rsidR="00BC32E1">
        <w:t>cieľom</w:t>
      </w:r>
      <w:r w:rsidR="00DC24F7">
        <w:t xml:space="preserve"> </w:t>
      </w:r>
      <w:r w:rsidR="00BC32E1">
        <w:t>eliminovať limity súč</w:t>
      </w:r>
      <w:r w:rsidR="00DC24F7">
        <w:t xml:space="preserve">asného stavu využívania úradných </w:t>
      </w:r>
      <w:proofErr w:type="spellStart"/>
      <w:r w:rsidR="00DC24F7">
        <w:t>autentifikátorov</w:t>
      </w:r>
      <w:proofErr w:type="spellEnd"/>
      <w:r w:rsidR="00DC24F7">
        <w:t xml:space="preserve"> (</w:t>
      </w:r>
      <w:proofErr w:type="spellStart"/>
      <w:r w:rsidR="00DC24F7">
        <w:t>eID</w:t>
      </w:r>
      <w:proofErr w:type="spellEnd"/>
      <w:r w:rsidR="00DC24F7">
        <w:t xml:space="preserve"> karta a </w:t>
      </w:r>
      <w:proofErr w:type="spellStart"/>
      <w:r w:rsidR="00DC24F7">
        <w:t>eDoPP</w:t>
      </w:r>
      <w:proofErr w:type="spellEnd"/>
      <w:r w:rsidR="00DC24F7">
        <w:t xml:space="preserve"> karta)</w:t>
      </w:r>
      <w:r w:rsidR="00BC32E1">
        <w:t xml:space="preserve"> a podporiť tak zvýšenie miery využívania elektronických služieb poskytovan</w:t>
      </w:r>
      <w:r w:rsidR="004E11CF">
        <w:t>ých</w:t>
      </w:r>
      <w:r w:rsidR="00BC32E1">
        <w:t xml:space="preserve"> orgánmi verejnej moci prostredníctvom</w:t>
      </w:r>
      <w:r w:rsidR="00720CD8">
        <w:t xml:space="preserve"> výkonu verejnej moci elektronickým spôsobom (</w:t>
      </w:r>
      <w:proofErr w:type="spellStart"/>
      <w:r w:rsidR="00720CD8">
        <w:t>eGovernment</w:t>
      </w:r>
      <w:proofErr w:type="spellEnd"/>
      <w:r w:rsidR="00720CD8">
        <w:t>)</w:t>
      </w:r>
      <w:r w:rsidR="00BC32E1">
        <w:t xml:space="preserve">. </w:t>
      </w:r>
      <w:r w:rsidR="00202B14">
        <w:t xml:space="preserve">Medzi zásadné prekážky praktického a frekventovaného používania súčasných prostriedkov pre autentifikáciu patrí komplikovaná </w:t>
      </w:r>
      <w:r>
        <w:t>po</w:t>
      </w:r>
      <w:r w:rsidR="00202B14">
        <w:t>užívateľská skúsenosť vyplývajúca z nutnosti používať čipovú kartu v kombinácii s čítačkou čipových kariet a klientskym softvérom (</w:t>
      </w:r>
      <w:proofErr w:type="spellStart"/>
      <w:r w:rsidR="00202B14">
        <w:t>eID</w:t>
      </w:r>
      <w:proofErr w:type="spellEnd"/>
      <w:r w:rsidR="00202B14">
        <w:t xml:space="preserve"> klient) na osobnom počítači, ktoré vyžadujú pre inštaláciu pokročilé IT zručnosti. Zároveň je </w:t>
      </w:r>
      <w:r>
        <w:t>po</w:t>
      </w:r>
      <w:r w:rsidR="00202B14">
        <w:t>užívateľsky komplikované aj vyjadrenie vôle (autorizácie) prostredníctvom vytvorenia kvalifikovaného elektronického podpisu (KEP), ktorý okrem spomenutých komponentov vyžaduje inštaláciu ďalšieho dodatočného softvéru (</w:t>
      </w:r>
      <w:proofErr w:type="spellStart"/>
      <w:r w:rsidR="00202B14">
        <w:t>D.suite</w:t>
      </w:r>
      <w:proofErr w:type="spellEnd"/>
      <w:r w:rsidR="00202B14">
        <w:t>).</w:t>
      </w:r>
    </w:p>
    <w:p w:rsidR="00BC32E1" w:rsidRDefault="00BC32E1" w:rsidP="00F40D17">
      <w:pPr>
        <w:jc w:val="both"/>
      </w:pPr>
      <w:r>
        <w:t>Zámer</w:t>
      </w:r>
      <w:r w:rsidR="00202B14">
        <w:t xml:space="preserve"> Mobilné ID</w:t>
      </w:r>
      <w:r>
        <w:t xml:space="preserve"> bol prezentovaný trom nominovaným</w:t>
      </w:r>
      <w:r w:rsidR="00720CD8">
        <w:t xml:space="preserve"> členom IT Asociácie S</w:t>
      </w:r>
      <w:r>
        <w:t xml:space="preserve">lovenska (ITAS) </w:t>
      </w:r>
      <w:r w:rsidR="004E11CF">
        <w:t xml:space="preserve">na stretnutí uskutočnenom </w:t>
      </w:r>
      <w:r>
        <w:t>v piatok 27. júla 2018</w:t>
      </w:r>
      <w:r w:rsidR="004E11CF">
        <w:t xml:space="preserve"> v priestoroch detašovaného pracoviska NASES v Bratislave</w:t>
      </w:r>
      <w:r>
        <w:t>. Okrem ITAS boli prítomný aj delegáti za NASES, ÚPVII a</w:t>
      </w:r>
      <w:r w:rsidR="009B5EDF">
        <w:t> </w:t>
      </w:r>
      <w:r>
        <w:t>aj</w:t>
      </w:r>
      <w:r w:rsidR="009B5EDF">
        <w:t xml:space="preserve"> z</w:t>
      </w:r>
      <w:r>
        <w:t xml:space="preserve"> občianskeho združenia </w:t>
      </w:r>
      <w:proofErr w:type="spellStart"/>
      <w:r>
        <w:t>Slovensko.digital</w:t>
      </w:r>
      <w:proofErr w:type="spellEnd"/>
      <w:r>
        <w:t xml:space="preserve">. </w:t>
      </w:r>
      <w:r w:rsidR="004E11CF">
        <w:t xml:space="preserve">Mrzí nás striktná limitácia počtu osôb na tri osoby, ktoré sa mohli za jednotlivé organizácie zúčastniť a vyjadriť tak kvalifikovaný názor </w:t>
      </w:r>
      <w:r w:rsidR="00FB1674">
        <w:t>počas produktívneho</w:t>
      </w:r>
      <w:r w:rsidR="004E11CF">
        <w:t xml:space="preserve"> dialógu.</w:t>
      </w:r>
    </w:p>
    <w:p w:rsidR="00720CD8" w:rsidRDefault="00BC32E1" w:rsidP="00F40D17">
      <w:pPr>
        <w:jc w:val="both"/>
      </w:pPr>
      <w:r>
        <w:t xml:space="preserve">ITAS víta </w:t>
      </w:r>
      <w:r w:rsidR="00441F90">
        <w:t>ambíciu</w:t>
      </w:r>
      <w:r>
        <w:t xml:space="preserve"> </w:t>
      </w:r>
      <w:r w:rsidR="00583F3B">
        <w:t xml:space="preserve">agentúry NASES </w:t>
      </w:r>
      <w:r w:rsidR="00107E63">
        <w:t>adresovať</w:t>
      </w:r>
      <w:r>
        <w:t xml:space="preserve"> </w:t>
      </w:r>
      <w:r w:rsidR="00441F90">
        <w:t xml:space="preserve">v čo najkratšom možnom časovom horizonte </w:t>
      </w:r>
      <w:r>
        <w:t xml:space="preserve">súčasné nedostatky </w:t>
      </w:r>
      <w:r w:rsidR="00720CD8">
        <w:t xml:space="preserve">uznaných </w:t>
      </w:r>
      <w:proofErr w:type="spellStart"/>
      <w:r>
        <w:t>autentifikátorov</w:t>
      </w:r>
      <w:proofErr w:type="spellEnd"/>
      <w:r>
        <w:t xml:space="preserve"> pre prístup k </w:t>
      </w:r>
      <w:r w:rsidR="00720CD8">
        <w:t>elektronickým</w:t>
      </w:r>
      <w:r>
        <w:t xml:space="preserve"> službám</w:t>
      </w:r>
      <w:r w:rsidR="00441F90">
        <w:t xml:space="preserve">. </w:t>
      </w:r>
      <w:r w:rsidR="00107E63">
        <w:t xml:space="preserve">Téma implementácie </w:t>
      </w:r>
      <w:r w:rsidR="00107E63" w:rsidRPr="00107E63">
        <w:t xml:space="preserve">riešenia pre jednoduchšiu autentifikáciu a autorizáciu je </w:t>
      </w:r>
      <w:r w:rsidR="00107E63">
        <w:t xml:space="preserve">aktuálna a vnímaná ako kľúčové opatrenie </w:t>
      </w:r>
      <w:r w:rsidR="00107E63" w:rsidRPr="00107E63">
        <w:t xml:space="preserve">pre zvýšenie záujmu občanov o </w:t>
      </w:r>
      <w:r w:rsidR="00107E63">
        <w:t>elektronické</w:t>
      </w:r>
      <w:r w:rsidR="00107E63" w:rsidRPr="00107E63">
        <w:t xml:space="preserve"> služby</w:t>
      </w:r>
      <w:r w:rsidR="00107E63">
        <w:t xml:space="preserve"> poskytované štátom. Pozitívne hodnotíme tiež úsilie zohľadniť aj potreby komerčného sektora, pre ktorý je táto téma rovnako atraktívna</w:t>
      </w:r>
      <w:r w:rsidR="00A5310E">
        <w:t>. Skúsenosti z iných európskych krajín jasne preukazujú, že riešenie pre autentifikáciu</w:t>
      </w:r>
      <w:r w:rsidR="00B071EE">
        <w:t xml:space="preserve"> / autorizáciu</w:t>
      </w:r>
      <w:r w:rsidR="00A5310E">
        <w:t xml:space="preserve">, ktoré nebude otvorené pre použitie aj v komerčnom sektore,  </w:t>
      </w:r>
      <w:r w:rsidR="00520709">
        <w:t xml:space="preserve">má výrazne nižšiu šancu na úspech </w:t>
      </w:r>
      <w:r w:rsidR="00A5310E">
        <w:t xml:space="preserve">pre prirodzene nízku </w:t>
      </w:r>
      <w:r w:rsidR="00B071EE">
        <w:t>frekvenciu</w:t>
      </w:r>
      <w:r w:rsidR="00A5310E">
        <w:t xml:space="preserve"> </w:t>
      </w:r>
      <w:r w:rsidR="00B071EE">
        <w:t>komunikácie občanov so štátom</w:t>
      </w:r>
      <w:r w:rsidR="00107E63">
        <w:t>.</w:t>
      </w:r>
      <w:r w:rsidR="00441F90">
        <w:t xml:space="preserve"> Kladne hodnotíme intenciu využívania mobilných zariadení a</w:t>
      </w:r>
      <w:r w:rsidR="00A5310E">
        <w:t>ko</w:t>
      </w:r>
      <w:r w:rsidR="00441F90">
        <w:t> rea</w:t>
      </w:r>
      <w:r w:rsidR="00A5310E">
        <w:t>kciu</w:t>
      </w:r>
      <w:r w:rsidR="00441F90">
        <w:t xml:space="preserve"> na rastúci trend mobility. </w:t>
      </w:r>
    </w:p>
    <w:p w:rsidR="00441F90" w:rsidRDefault="00B071EE" w:rsidP="00F40D17">
      <w:pPr>
        <w:jc w:val="both"/>
      </w:pPr>
      <w:r>
        <w:t>Oceňujeme</w:t>
      </w:r>
      <w:r w:rsidR="00441F90">
        <w:t xml:space="preserve">, že môžeme konštruktívnymi </w:t>
      </w:r>
      <w:r w:rsidR="00242D29">
        <w:t xml:space="preserve">názormi </w:t>
      </w:r>
      <w:r w:rsidR="00DC24F7">
        <w:t>formulovanými v tomto stanovisku</w:t>
      </w:r>
      <w:r w:rsidR="00441F90">
        <w:t xml:space="preserve"> prispieť ku </w:t>
      </w:r>
      <w:r w:rsidR="00DC24F7">
        <w:t xml:space="preserve">komunikovanému zámeru tak, aby boli v čo najvyššej možnej miere naplnené očakávané prínosy plynúce zo zavedenia mobilného ID z perspektívy občanov, štátu a aj komerčných subjektov. </w:t>
      </w:r>
      <w:r w:rsidR="00242D29">
        <w:t xml:space="preserve">Sme presvedčení, že naše pripomienky by mohli byť presnejšie formulované, pokiaľ by sme dostali k dispozícii konkrétne dokumenty popisujúce prezentovaný zámer. </w:t>
      </w:r>
      <w:r w:rsidR="00520709">
        <w:t xml:space="preserve">Navrhujeme predloženie takéhoto dokumentu na rokovanie PS UPVII, </w:t>
      </w:r>
      <w:r w:rsidR="00287F44">
        <w:t xml:space="preserve">aspoň na pracovné skupiny </w:t>
      </w:r>
      <w:r w:rsidR="00287F44" w:rsidRPr="00287F44">
        <w:t>Lepšie služby a Bezpečnosť.</w:t>
      </w:r>
    </w:p>
    <w:p w:rsidR="004E11CF" w:rsidRDefault="004E11CF" w:rsidP="00F40D17">
      <w:pPr>
        <w:pStyle w:val="Heading2"/>
        <w:jc w:val="both"/>
        <w:rPr>
          <w:b/>
          <w:color w:val="auto"/>
        </w:rPr>
      </w:pPr>
      <w:r w:rsidRPr="004E11CF">
        <w:rPr>
          <w:b/>
          <w:color w:val="auto"/>
        </w:rPr>
        <w:t xml:space="preserve">1. Autentifikačná </w:t>
      </w:r>
      <w:r w:rsidR="00FB1674">
        <w:rPr>
          <w:b/>
          <w:color w:val="auto"/>
        </w:rPr>
        <w:t>časť</w:t>
      </w:r>
    </w:p>
    <w:p w:rsidR="00813ADC" w:rsidRDefault="00813ADC" w:rsidP="00AA59CE">
      <w:pPr>
        <w:pStyle w:val="ListParagraph"/>
        <w:numPr>
          <w:ilvl w:val="1"/>
          <w:numId w:val="1"/>
        </w:numPr>
        <w:spacing w:before="120"/>
        <w:contextualSpacing w:val="0"/>
        <w:jc w:val="both"/>
      </w:pPr>
      <w:r w:rsidRPr="00100BCE">
        <w:rPr>
          <w:b/>
        </w:rPr>
        <w:t>Plne mobilný scenár:</w:t>
      </w:r>
      <w:r>
        <w:t xml:space="preserve"> </w:t>
      </w:r>
      <w:r w:rsidR="004E4FAB">
        <w:t>M</w:t>
      </w:r>
      <w:r w:rsidR="00E726B4">
        <w:t xml:space="preserve">obilné ID by malo od začiatku podporovať plne mobilný scenár </w:t>
      </w:r>
      <w:r>
        <w:t>pre konzumáciu elektronickej služby priamo</w:t>
      </w:r>
      <w:r w:rsidR="003831AD">
        <w:t xml:space="preserve"> natívnym spôsobom</w:t>
      </w:r>
      <w:r>
        <w:t xml:space="preserve"> z toho istého mobilného zariadenia, ktoré slúži pre autentifikáciu s mobilným ID, teda </w:t>
      </w:r>
      <w:r w:rsidR="00E726B4">
        <w:t>bez využitia iného zariadenia</w:t>
      </w:r>
      <w:r>
        <w:t xml:space="preserve"> (osobný počítač atď.) a potreby snímania QR kódu.</w:t>
      </w:r>
      <w:r w:rsidR="00E726B4">
        <w:t xml:space="preserve"> Súčasný popisovaný scenár vychádza z predpokladu, že interakcia a konzumácia elektronickej služby </w:t>
      </w:r>
      <w:r>
        <w:t>prebieha</w:t>
      </w:r>
      <w:r w:rsidR="00E726B4">
        <w:t xml:space="preserve"> na inom zariadení (osobný počítač) a mobilné zariadenie sa použije len na autentifikáciu, ale nie na konzumáciu služby.</w:t>
      </w:r>
      <w:r>
        <w:t xml:space="preserve"> </w:t>
      </w:r>
      <w:r w:rsidR="00E726B4">
        <w:t xml:space="preserve">Plne mobilný scenár by mal byť od začiatku </w:t>
      </w:r>
      <w:r>
        <w:t xml:space="preserve">implementácie </w:t>
      </w:r>
      <w:r w:rsidR="00E726B4">
        <w:t>dostupný</w:t>
      </w:r>
      <w:r>
        <w:t>,</w:t>
      </w:r>
      <w:r w:rsidR="00E726B4">
        <w:t xml:space="preserve"> </w:t>
      </w:r>
      <w:r>
        <w:t>preto ho n</w:t>
      </w:r>
      <w:r w:rsidR="00E726B4">
        <w:t xml:space="preserve">avrhujeme </w:t>
      </w:r>
      <w:r>
        <w:t>zakomponovať</w:t>
      </w:r>
      <w:r w:rsidR="00E726B4">
        <w:t xml:space="preserve"> do zámeru</w:t>
      </w:r>
      <w:r>
        <w:t>.</w:t>
      </w:r>
      <w:r w:rsidR="002D44A6">
        <w:t xml:space="preserve"> Práve takýto scenár je podľa nášho názoru nevyhnutný pre plošné využitie v komerčnej sfére, ktorá široko využíva práve natívne mobilné aplikácie a nie len prístup na mobile prostredníctvom prehliadača. Bez doriešenia tohto scenára a prepracovania modulu IAM (viď nižšie) má riešenie iba malú pridanú hodnotu pre súčasných používateľov.</w:t>
      </w:r>
    </w:p>
    <w:p w:rsidR="00100BCE" w:rsidRDefault="00813ADC" w:rsidP="00AA59CE">
      <w:pPr>
        <w:pStyle w:val="ListParagraph"/>
        <w:numPr>
          <w:ilvl w:val="1"/>
          <w:numId w:val="1"/>
        </w:numPr>
        <w:spacing w:before="120"/>
        <w:contextualSpacing w:val="0"/>
        <w:jc w:val="both"/>
      </w:pPr>
      <w:r w:rsidRPr="00100BCE">
        <w:rPr>
          <w:b/>
        </w:rPr>
        <w:t>Registrácia a</w:t>
      </w:r>
      <w:r w:rsidR="00157FC4" w:rsidRPr="00100BCE">
        <w:rPr>
          <w:b/>
        </w:rPr>
        <w:t> </w:t>
      </w:r>
      <w:r w:rsidRPr="00100BCE">
        <w:rPr>
          <w:b/>
        </w:rPr>
        <w:t>aktivácia</w:t>
      </w:r>
      <w:r w:rsidR="00157FC4" w:rsidRPr="00100BCE">
        <w:rPr>
          <w:b/>
        </w:rPr>
        <w:t xml:space="preserve"> mobilné </w:t>
      </w:r>
      <w:proofErr w:type="spellStart"/>
      <w:r w:rsidR="00157FC4" w:rsidRPr="00100BCE">
        <w:rPr>
          <w:b/>
        </w:rPr>
        <w:t>eID</w:t>
      </w:r>
      <w:proofErr w:type="spellEnd"/>
      <w:r w:rsidR="00157FC4" w:rsidRPr="00100BCE">
        <w:rPr>
          <w:b/>
        </w:rPr>
        <w:t xml:space="preserve"> asistovane s </w:t>
      </w:r>
      <w:proofErr w:type="spellStart"/>
      <w:r w:rsidR="00157FC4" w:rsidRPr="00100BCE">
        <w:rPr>
          <w:b/>
        </w:rPr>
        <w:t>eID</w:t>
      </w:r>
      <w:proofErr w:type="spellEnd"/>
      <w:r w:rsidR="00157FC4" w:rsidRPr="00100BCE">
        <w:rPr>
          <w:b/>
        </w:rPr>
        <w:t>/</w:t>
      </w:r>
      <w:proofErr w:type="spellStart"/>
      <w:r w:rsidR="00157FC4" w:rsidRPr="00100BCE">
        <w:rPr>
          <w:b/>
        </w:rPr>
        <w:t>eDoPP</w:t>
      </w:r>
      <w:proofErr w:type="spellEnd"/>
      <w:r w:rsidRPr="00100BCE">
        <w:rPr>
          <w:b/>
        </w:rPr>
        <w:t>:</w:t>
      </w:r>
      <w:r>
        <w:t xml:space="preserve"> </w:t>
      </w:r>
      <w:r w:rsidRPr="00157FC4">
        <w:t>Pre asistovaný spôsob aktivácie</w:t>
      </w:r>
      <w:r w:rsidRPr="00813ADC">
        <w:t xml:space="preserve"> bola diskutovaná preferencia overenia totožnosti žiadateľa na základe dokladu totožnosti, teda aj občana, ktorý nedisponuje </w:t>
      </w:r>
      <w:r>
        <w:t>elektronickým identifikačným dokladom</w:t>
      </w:r>
      <w:r w:rsidRPr="00813ADC">
        <w:t xml:space="preserve">. </w:t>
      </w:r>
      <w:r>
        <w:t xml:space="preserve">Navrhujeme uplatňovať </w:t>
      </w:r>
      <w:r w:rsidR="004E4FAB">
        <w:t>princíp vyššej opatrnosti</w:t>
      </w:r>
      <w:r>
        <w:t xml:space="preserve"> realizáciou</w:t>
      </w:r>
      <w:r w:rsidRPr="00813ADC">
        <w:t xml:space="preserve"> dokazovani</w:t>
      </w:r>
      <w:r>
        <w:t>a fyzickej</w:t>
      </w:r>
      <w:r w:rsidRPr="00813ADC">
        <w:t xml:space="preserve"> prítomnosti</w:t>
      </w:r>
      <w:r>
        <w:t xml:space="preserve"> žiadateľa využitím</w:t>
      </w:r>
      <w:r w:rsidRPr="00813ADC">
        <w:t xml:space="preserve"> </w:t>
      </w:r>
      <w:proofErr w:type="spellStart"/>
      <w:r w:rsidR="004E4FAB">
        <w:t>eID</w:t>
      </w:r>
      <w:proofErr w:type="spellEnd"/>
      <w:r w:rsidR="004E4FAB">
        <w:t>/</w:t>
      </w:r>
      <w:proofErr w:type="spellStart"/>
      <w:r w:rsidR="004E4FAB">
        <w:t>eDoPP</w:t>
      </w:r>
      <w:proofErr w:type="spellEnd"/>
      <w:r w:rsidR="004E4FAB">
        <w:t xml:space="preserve"> karty</w:t>
      </w:r>
      <w:r w:rsidRPr="00813ADC">
        <w:t xml:space="preserve"> a</w:t>
      </w:r>
      <w:r w:rsidR="004E4FAB">
        <w:t> bezpečnostného osobného kódu (BOK)</w:t>
      </w:r>
      <w:r w:rsidRPr="00813ADC">
        <w:t xml:space="preserve"> </w:t>
      </w:r>
      <w:r w:rsidR="004E4FAB">
        <w:t>pre elimináciu rizika</w:t>
      </w:r>
      <w:r w:rsidRPr="00813ADC">
        <w:t xml:space="preserve"> výskytu interného </w:t>
      </w:r>
      <w:r w:rsidR="004E4FAB">
        <w:t>podvodného konania</w:t>
      </w:r>
      <w:r w:rsidRPr="00813ADC">
        <w:t xml:space="preserve"> </w:t>
      </w:r>
      <w:r w:rsidR="004E4FAB">
        <w:t>(</w:t>
      </w:r>
      <w:r w:rsidRPr="00813ADC">
        <w:t xml:space="preserve">podobné opatrenia </w:t>
      </w:r>
      <w:r w:rsidR="004E4FAB" w:rsidRPr="00813ADC">
        <w:t>zavádzajú</w:t>
      </w:r>
      <w:r w:rsidRPr="00813ADC">
        <w:t xml:space="preserve"> napr. banky a zdravotníci</w:t>
      </w:r>
      <w:r w:rsidRPr="00AE0874">
        <w:t>)</w:t>
      </w:r>
      <w:r w:rsidR="004E4FAB" w:rsidRPr="00AE0874">
        <w:t>.</w:t>
      </w:r>
      <w:r w:rsidR="00157FC4" w:rsidRPr="00AE0874">
        <w:t xml:space="preserve"> </w:t>
      </w:r>
      <w:r w:rsidR="00AE0874" w:rsidRPr="00AE0874">
        <w:rPr>
          <w:rFonts w:ascii="Calibri" w:hAnsi="Calibri" w:cs="Calibri"/>
          <w:bCs/>
        </w:rPr>
        <w:t xml:space="preserve">V prípade, ak žiadateľ nedisponuje </w:t>
      </w:r>
      <w:proofErr w:type="spellStart"/>
      <w:r w:rsidR="00AE0874" w:rsidRPr="00AE0874">
        <w:rPr>
          <w:rFonts w:ascii="Calibri" w:hAnsi="Calibri" w:cs="Calibri"/>
          <w:bCs/>
        </w:rPr>
        <w:t>eID</w:t>
      </w:r>
      <w:proofErr w:type="spellEnd"/>
      <w:r w:rsidR="00AE0874" w:rsidRPr="00AE0874">
        <w:rPr>
          <w:rFonts w:ascii="Calibri" w:hAnsi="Calibri" w:cs="Calibri"/>
          <w:bCs/>
        </w:rPr>
        <w:t>/</w:t>
      </w:r>
      <w:proofErr w:type="spellStart"/>
      <w:r w:rsidR="00AE0874" w:rsidRPr="00AE0874">
        <w:rPr>
          <w:rFonts w:ascii="Calibri" w:hAnsi="Calibri" w:cs="Calibri"/>
          <w:bCs/>
        </w:rPr>
        <w:t>eDoPP</w:t>
      </w:r>
      <w:proofErr w:type="spellEnd"/>
      <w:r w:rsidR="00AE0874">
        <w:rPr>
          <w:rFonts w:ascii="Calibri" w:hAnsi="Calibri" w:cs="Calibri"/>
          <w:bCs/>
        </w:rPr>
        <w:t>,</w:t>
      </w:r>
      <w:r w:rsidR="00AE0874" w:rsidRPr="00AE0874">
        <w:rPr>
          <w:rFonts w:ascii="Calibri" w:hAnsi="Calibri" w:cs="Calibri"/>
          <w:bCs/>
        </w:rPr>
        <w:t xml:space="preserve"> navrhujeme, aby </w:t>
      </w:r>
      <w:r w:rsidR="004D793B">
        <w:rPr>
          <w:rFonts w:ascii="Calibri" w:hAnsi="Calibri" w:cs="Calibri"/>
          <w:bCs/>
        </w:rPr>
        <w:t xml:space="preserve">sa zvážila možnosť </w:t>
      </w:r>
      <w:r w:rsidR="004D793B">
        <w:rPr>
          <w:rFonts w:ascii="Calibri" w:hAnsi="Calibri" w:cs="Calibri"/>
          <w:bCs/>
        </w:rPr>
        <w:lastRenderedPageBreak/>
        <w:t xml:space="preserve">previazať proces </w:t>
      </w:r>
      <w:r w:rsidR="004D793B" w:rsidRPr="00AE0874">
        <w:rPr>
          <w:rFonts w:ascii="Calibri" w:hAnsi="Calibri" w:cs="Calibri"/>
          <w:bCs/>
        </w:rPr>
        <w:t xml:space="preserve">asistovanej registrácie mobilného </w:t>
      </w:r>
      <w:proofErr w:type="spellStart"/>
      <w:r w:rsidR="004D793B" w:rsidRPr="00AE0874">
        <w:rPr>
          <w:rFonts w:ascii="Calibri" w:hAnsi="Calibri" w:cs="Calibri"/>
          <w:bCs/>
        </w:rPr>
        <w:t>eID</w:t>
      </w:r>
      <w:proofErr w:type="spellEnd"/>
      <w:r w:rsidR="004D793B" w:rsidRPr="00AE0874">
        <w:rPr>
          <w:rFonts w:ascii="Calibri" w:hAnsi="Calibri" w:cs="Calibri"/>
          <w:bCs/>
        </w:rPr>
        <w:t xml:space="preserve"> </w:t>
      </w:r>
      <w:r w:rsidR="004D793B">
        <w:rPr>
          <w:rFonts w:ascii="Calibri" w:hAnsi="Calibri" w:cs="Calibri"/>
          <w:bCs/>
        </w:rPr>
        <w:t>a aktivácie</w:t>
      </w:r>
      <w:r w:rsidR="00AE0874" w:rsidRPr="00AE0874">
        <w:rPr>
          <w:rFonts w:ascii="Calibri" w:hAnsi="Calibri" w:cs="Calibri"/>
          <w:bCs/>
        </w:rPr>
        <w:t xml:space="preserve"> </w:t>
      </w:r>
      <w:r w:rsidR="004D793B">
        <w:rPr>
          <w:rFonts w:ascii="Calibri" w:hAnsi="Calibri" w:cs="Calibri"/>
          <w:bCs/>
        </w:rPr>
        <w:t xml:space="preserve">jeho </w:t>
      </w:r>
      <w:proofErr w:type="spellStart"/>
      <w:r w:rsidR="004D793B" w:rsidRPr="00AE0874">
        <w:rPr>
          <w:rFonts w:ascii="Calibri" w:hAnsi="Calibri" w:cs="Calibri"/>
          <w:bCs/>
        </w:rPr>
        <w:t>eID</w:t>
      </w:r>
      <w:proofErr w:type="spellEnd"/>
      <w:r w:rsidR="004D793B" w:rsidRPr="00AE0874">
        <w:rPr>
          <w:rFonts w:ascii="Calibri" w:hAnsi="Calibri" w:cs="Calibri"/>
          <w:bCs/>
        </w:rPr>
        <w:t>/</w:t>
      </w:r>
      <w:proofErr w:type="spellStart"/>
      <w:r w:rsidR="004D793B" w:rsidRPr="00AE0874">
        <w:rPr>
          <w:rFonts w:ascii="Calibri" w:hAnsi="Calibri" w:cs="Calibri"/>
          <w:bCs/>
        </w:rPr>
        <w:t>eDoPP</w:t>
      </w:r>
      <w:proofErr w:type="spellEnd"/>
      <w:r w:rsidR="00AE0874" w:rsidRPr="00AE0874">
        <w:rPr>
          <w:rFonts w:ascii="Calibri" w:hAnsi="Calibri" w:cs="Calibri"/>
          <w:bCs/>
        </w:rPr>
        <w:t>.</w:t>
      </w:r>
      <w:r w:rsidR="00AE0874">
        <w:rPr>
          <w:rFonts w:ascii="Calibri" w:hAnsi="Calibri" w:cs="Calibri"/>
          <w:b/>
          <w:bCs/>
        </w:rPr>
        <w:t xml:space="preserve"> </w:t>
      </w:r>
      <w:r w:rsidR="004E4FAB" w:rsidRPr="00100BCE">
        <w:t xml:space="preserve">Nevyhnutným predpokladom samoobslužnej </w:t>
      </w:r>
      <w:r w:rsidR="00100BCE">
        <w:t xml:space="preserve">online </w:t>
      </w:r>
      <w:r w:rsidR="004E4FAB" w:rsidRPr="00100BCE">
        <w:t>aktivácie</w:t>
      </w:r>
      <w:r w:rsidR="004E4FAB" w:rsidRPr="004E4FAB">
        <w:t xml:space="preserve"> je úspešné vykonanie autentifikácie </w:t>
      </w:r>
      <w:r w:rsidR="004E4FAB">
        <w:t xml:space="preserve">občana </w:t>
      </w:r>
      <w:proofErr w:type="spellStart"/>
      <w:r w:rsidR="004E4FAB" w:rsidRPr="004E4FAB">
        <w:t>eID</w:t>
      </w:r>
      <w:proofErr w:type="spellEnd"/>
      <w:r w:rsidR="004E4FAB" w:rsidRPr="004E4FAB">
        <w:t>/</w:t>
      </w:r>
      <w:proofErr w:type="spellStart"/>
      <w:r w:rsidR="004E4FAB" w:rsidRPr="004E4FAB">
        <w:t>eDoPP</w:t>
      </w:r>
      <w:proofErr w:type="spellEnd"/>
      <w:r w:rsidR="004E4FAB" w:rsidRPr="004E4FAB">
        <w:t xml:space="preserve"> kartou</w:t>
      </w:r>
      <w:r w:rsidR="004E4FAB">
        <w:t>.</w:t>
      </w:r>
    </w:p>
    <w:p w:rsidR="009A3E12" w:rsidRDefault="00BB622E" w:rsidP="006B58E2">
      <w:pPr>
        <w:pStyle w:val="ListParagraph"/>
        <w:numPr>
          <w:ilvl w:val="1"/>
          <w:numId w:val="1"/>
        </w:numPr>
        <w:spacing w:before="120"/>
        <w:contextualSpacing w:val="0"/>
      </w:pPr>
      <w:r w:rsidRPr="00BB622E">
        <w:rPr>
          <w:b/>
        </w:rPr>
        <w:t>Výklad</w:t>
      </w:r>
      <w:r w:rsidR="005057BC" w:rsidRPr="00BB622E">
        <w:rPr>
          <w:b/>
        </w:rPr>
        <w:t xml:space="preserve"> formulácie o</w:t>
      </w:r>
      <w:r w:rsidR="00100BCE" w:rsidRPr="00BB622E">
        <w:rPr>
          <w:b/>
        </w:rPr>
        <w:t xml:space="preserve"> a</w:t>
      </w:r>
      <w:r w:rsidR="005057BC" w:rsidRPr="00BB622E">
        <w:rPr>
          <w:b/>
        </w:rPr>
        <w:t>utentifikačných certifikátoch</w:t>
      </w:r>
      <w:r w:rsidR="00100BCE" w:rsidRPr="00BB622E">
        <w:rPr>
          <w:b/>
        </w:rPr>
        <w:t xml:space="preserve"> podľa súčasného zákona č. 305/2013</w:t>
      </w:r>
      <w:r w:rsidR="005057BC" w:rsidRPr="00BB622E">
        <w:rPr>
          <w:b/>
        </w:rPr>
        <w:t xml:space="preserve"> </w:t>
      </w:r>
      <w:r w:rsidR="008320FC">
        <w:rPr>
          <w:b/>
        </w:rPr>
        <w:t>resp. určenie</w:t>
      </w:r>
      <w:r w:rsidR="005057BC" w:rsidRPr="00BB622E">
        <w:rPr>
          <w:b/>
        </w:rPr>
        <w:t xml:space="preserve"> legislatívneho základu mobilného ID:</w:t>
      </w:r>
      <w:r w:rsidRPr="00BB622E">
        <w:rPr>
          <w:b/>
        </w:rPr>
        <w:t xml:space="preserve"> </w:t>
      </w:r>
      <w:r w:rsidR="00F40D17">
        <w:t>Považujeme za dôležité</w:t>
      </w:r>
      <w:r w:rsidR="005057BC">
        <w:t xml:space="preserve"> najprv objasniť</w:t>
      </w:r>
      <w:r>
        <w:t xml:space="preserve"> výklad</w:t>
      </w:r>
      <w:r w:rsidR="005057BC">
        <w:t xml:space="preserve"> s</w:t>
      </w:r>
      <w:r w:rsidR="00100BCE">
        <w:t>účasné</w:t>
      </w:r>
      <w:r>
        <w:t>ho znenia</w:t>
      </w:r>
      <w:r w:rsidR="00100BCE">
        <w:t xml:space="preserve"> </w:t>
      </w:r>
      <w:hyperlink r:id="rId5" w:anchor="predpis.clanok-1.cast-tretia.skupinaParagrafov-osobitne_ustanovenia_o_identifikacii_osoby_a_autentifikacii_prostrednictvom_informacneho_systemu" w:history="1">
        <w:r w:rsidR="00100BCE" w:rsidRPr="00722896">
          <w:rPr>
            <w:rStyle w:val="Hyperlink"/>
          </w:rPr>
          <w:t>§22a a §22aa</w:t>
        </w:r>
        <w:r w:rsidR="005057BC" w:rsidRPr="00722896">
          <w:rPr>
            <w:rStyle w:val="Hyperlink"/>
          </w:rPr>
          <w:t xml:space="preserve"> spomínaného zákona</w:t>
        </w:r>
      </w:hyperlink>
      <w:r w:rsidR="005057BC">
        <w:t>, pretože existuje odôvodnená obava, že použitie autentifikačných certifikátov</w:t>
      </w:r>
      <w:r w:rsidR="005057BC" w:rsidRPr="005057BC">
        <w:t xml:space="preserve"> podľa tejto legislatívy </w:t>
      </w:r>
      <w:r w:rsidR="005057BC">
        <w:t xml:space="preserve">pre účely Mobilné ID </w:t>
      </w:r>
      <w:r w:rsidR="005057BC" w:rsidRPr="005057BC">
        <w:t xml:space="preserve">je nesprávne </w:t>
      </w:r>
      <w:r w:rsidR="005057BC">
        <w:t xml:space="preserve">interpretované a neaplikovateľné </w:t>
      </w:r>
      <w:r w:rsidR="00E03F26">
        <w:t xml:space="preserve">v praxi </w:t>
      </w:r>
      <w:r w:rsidR="005057BC">
        <w:t xml:space="preserve">v prípade interaktívnej dvojfaktorovej </w:t>
      </w:r>
      <w:r w:rsidR="005057BC" w:rsidRPr="005057BC">
        <w:t>autentifikácie osoby (bez automatizovaného spôsobu).</w:t>
      </w:r>
      <w:r w:rsidR="005057BC">
        <w:t xml:space="preserve"> Zároveň</w:t>
      </w:r>
      <w:r w:rsidR="007621C7">
        <w:t xml:space="preserve"> odporúčame posúdiť, či </w:t>
      </w:r>
      <w:r w:rsidR="005057BC">
        <w:t xml:space="preserve">  spôsob opisovanej autentifikácie s využitím autentifikačných certifikátov podľa tohto zákona </w:t>
      </w:r>
      <w:r w:rsidR="007621C7">
        <w:t xml:space="preserve">nie je </w:t>
      </w:r>
      <w:r w:rsidR="005057BC">
        <w:t>v rozpore s </w:t>
      </w:r>
      <w:hyperlink r:id="rId6" w:history="1">
        <w:r w:rsidR="005057BC" w:rsidRPr="00BB622E">
          <w:rPr>
            <w:rStyle w:val="Hyperlink"/>
          </w:rPr>
          <w:t xml:space="preserve">výkladom nariadenia </w:t>
        </w:r>
        <w:proofErr w:type="spellStart"/>
        <w:r w:rsidR="005057BC" w:rsidRPr="00BB622E">
          <w:rPr>
            <w:rStyle w:val="Hyperlink"/>
          </w:rPr>
          <w:t>eIDAS</w:t>
        </w:r>
        <w:proofErr w:type="spellEnd"/>
        <w:r w:rsidR="005057BC" w:rsidRPr="00BB622E">
          <w:rPr>
            <w:rStyle w:val="Hyperlink"/>
          </w:rPr>
          <w:t xml:space="preserve"> </w:t>
        </w:r>
        <w:r w:rsidRPr="00BB622E">
          <w:rPr>
            <w:rStyle w:val="Hyperlink"/>
          </w:rPr>
          <w:t>Európskou komisiou</w:t>
        </w:r>
      </w:hyperlink>
      <w:r>
        <w:t xml:space="preserve"> </w:t>
      </w:r>
      <w:r w:rsidR="005057BC">
        <w:t>a</w:t>
      </w:r>
      <w:r>
        <w:t xml:space="preserve"> tiež</w:t>
      </w:r>
      <w:r w:rsidR="005057BC">
        <w:t> </w:t>
      </w:r>
      <w:hyperlink r:id="rId7" w:history="1">
        <w:r w:rsidR="005057BC" w:rsidRPr="00BB622E">
          <w:rPr>
            <w:rStyle w:val="Hyperlink"/>
          </w:rPr>
          <w:t xml:space="preserve">odporúčaniami </w:t>
        </w:r>
        <w:r w:rsidRPr="00BB622E">
          <w:rPr>
            <w:rStyle w:val="Hyperlink"/>
          </w:rPr>
          <w:t>Európskou agentúrou pre informačnú a sieťovú bezpečnosť</w:t>
        </w:r>
      </w:hyperlink>
      <w:r>
        <w:t xml:space="preserve"> (</w:t>
      </w:r>
      <w:r w:rsidR="005057BC">
        <w:t>ENISA</w:t>
      </w:r>
      <w:r>
        <w:t>)</w:t>
      </w:r>
      <w:r w:rsidR="000A49DD">
        <w:t xml:space="preserve">, pretože </w:t>
      </w:r>
      <w:r w:rsidR="000A49DD" w:rsidRPr="000A49DD">
        <w:t>protistrana</w:t>
      </w:r>
      <w:r w:rsidR="000A49DD">
        <w:t xml:space="preserve"> je</w:t>
      </w:r>
      <w:r w:rsidR="000A49DD" w:rsidRPr="000A49DD">
        <w:t xml:space="preserve"> identifikovaná priamo z certifikátu </w:t>
      </w:r>
      <w:r w:rsidR="00FB065F">
        <w:t xml:space="preserve">s poskytnutím všetkých osobných údajov obsiahnutých v certifikáte (bez kontroly používateľa) </w:t>
      </w:r>
      <w:r w:rsidR="000A49DD" w:rsidRPr="000A49DD">
        <w:t xml:space="preserve">a vytvoreného podpisu </w:t>
      </w:r>
      <w:r w:rsidR="008320FC">
        <w:t xml:space="preserve">výzvy </w:t>
      </w:r>
      <w:r w:rsidR="000A49DD" w:rsidRPr="000A49DD">
        <w:t>prislúchajúcim kľúčovým párom</w:t>
      </w:r>
      <w:r>
        <w:t>.</w:t>
      </w:r>
      <w:r w:rsidR="006D6E9C">
        <w:t xml:space="preserve"> </w:t>
      </w:r>
      <w:r w:rsidR="00FB065F">
        <w:t xml:space="preserve">Ako uvádza ENISA, tento spôsob obmedzuje možnosti ochrany súkromia a osobných údajov. V súvislosti s tým upozorňujeme, že nariadenie </w:t>
      </w:r>
      <w:proofErr w:type="spellStart"/>
      <w:r w:rsidR="00FB065F">
        <w:t>eIDAS</w:t>
      </w:r>
      <w:proofErr w:type="spellEnd"/>
      <w:r w:rsidR="00FB065F">
        <w:t xml:space="preserve"> (recitál 11 a článok 5) by sa malo uplatňovať v úplnom súlade so zásadami ochrany osobných údajov ustanovených v nariadení GDPR – z tohto hľadiska by sa autentifikácia služby online mala týkať spracovania len tých identifikačných údajov, ktoré sú primerané, relevantné a nie sú nadbytočné na účely poskytnutia prístupu. Plný súlad znamená dodržiavanie všetkých princípov (zákonnosť, spravodlivosť, transparentnosť, obmedzenie účelu, minimalizácia údajov, správnosť, minimalizácia uchovávania, integrita a dôvernosť, zodpovednosť), vrátane prístupu formulovaného ako „</w:t>
      </w:r>
      <w:proofErr w:type="spellStart"/>
      <w:r w:rsidR="00FB065F">
        <w:t>Priva</w:t>
      </w:r>
      <w:r w:rsidR="00AA59CE">
        <w:t>cy</w:t>
      </w:r>
      <w:proofErr w:type="spellEnd"/>
      <w:r w:rsidR="00AA59CE">
        <w:t xml:space="preserve"> by default“ a „</w:t>
      </w:r>
      <w:proofErr w:type="spellStart"/>
      <w:r w:rsidR="00AA59CE">
        <w:t>Privacy</w:t>
      </w:r>
      <w:proofErr w:type="spellEnd"/>
      <w:r w:rsidR="00AA59CE">
        <w:t xml:space="preserve"> by de</w:t>
      </w:r>
      <w:r w:rsidR="00FB065F">
        <w:t>s</w:t>
      </w:r>
      <w:r w:rsidR="00AA59CE">
        <w:t>i</w:t>
      </w:r>
      <w:r w:rsidR="00FB065F">
        <w:t>gn“. Preto ak existujú mechanizmy, ktoré zaručujú dodržiavani</w:t>
      </w:r>
      <w:r w:rsidR="005230F7">
        <w:t>e GDPR, mali by byť aplikované.</w:t>
      </w:r>
      <w:r w:rsidR="005230F7">
        <w:br/>
      </w:r>
      <w:r w:rsidR="005230F7">
        <w:br/>
      </w:r>
      <w:r w:rsidR="006D6E9C">
        <w:t>Navyše pre využitie</w:t>
      </w:r>
      <w:r w:rsidR="000A49DD">
        <w:t xml:space="preserve"> autentifikácie autentifikačnými certifikátmi</w:t>
      </w:r>
      <w:r w:rsidR="006D6E9C">
        <w:t xml:space="preserve"> sa predpokladá vyhovieť špecifickým požiadavkám, napríklad uzavretie dohody o integračnom zámere atď.</w:t>
      </w:r>
      <w:r>
        <w:t xml:space="preserve"> Preto navrhujeme otvoriť túto tému v relevantných pracovných skupinách Úradu podpredsedu vlády pre investície a informatizáciu.</w:t>
      </w:r>
      <w:r w:rsidR="006D6E9C">
        <w:t xml:space="preserve"> </w:t>
      </w:r>
      <w:r w:rsidR="00AA59CE">
        <w:t xml:space="preserve">Ak má byť Mobilné ID „náhradou“ </w:t>
      </w:r>
      <w:proofErr w:type="spellStart"/>
      <w:r w:rsidR="00AA59CE">
        <w:t>eID</w:t>
      </w:r>
      <w:proofErr w:type="spellEnd"/>
      <w:r w:rsidR="00AA59CE">
        <w:t xml:space="preserve"> a nie „doplnkom“ ku </w:t>
      </w:r>
      <w:proofErr w:type="spellStart"/>
      <w:r w:rsidR="00AA59CE">
        <w:t>eID</w:t>
      </w:r>
      <w:proofErr w:type="spellEnd"/>
      <w:r w:rsidR="00AA59CE">
        <w:t xml:space="preserve">, potom z pohľadu právnej istoty dávame do budúcna na zváženie zadefinovanie samostatného pojmu v legislatíve. Zamedzilo by sa tak akýmkoľvek špekuláciám (sporným právnym výkladom), ktoré by mohli hlavne pre využívanie v komerčnom sektore z pohľadu </w:t>
      </w:r>
      <w:proofErr w:type="spellStart"/>
      <w:r w:rsidR="00AA59CE">
        <w:t>compliance</w:t>
      </w:r>
      <w:proofErr w:type="spellEnd"/>
      <w:r w:rsidR="00AA59CE">
        <w:t xml:space="preserve"> manažérov znamenať právnu neistotu a mať za následok zamietnutie akceptácie Mobilného ID v praxi.</w:t>
      </w:r>
    </w:p>
    <w:p w:rsidR="00BB622E" w:rsidRDefault="006D6E9C" w:rsidP="00AA59CE">
      <w:pPr>
        <w:pStyle w:val="ListParagraph"/>
        <w:numPr>
          <w:ilvl w:val="2"/>
          <w:numId w:val="1"/>
        </w:numPr>
        <w:spacing w:before="120"/>
        <w:contextualSpacing w:val="0"/>
        <w:jc w:val="both"/>
      </w:pPr>
      <w:r>
        <w:t xml:space="preserve">V prípade, že z výkladu vyplynie stanovisko, že napriek uvedeným </w:t>
      </w:r>
      <w:r w:rsidR="008320FC">
        <w:t>úskaliam</w:t>
      </w:r>
      <w:r>
        <w:t xml:space="preserve"> </w:t>
      </w:r>
      <w:r w:rsidR="002D44A6">
        <w:t xml:space="preserve">a odporúčaniam </w:t>
      </w:r>
      <w:r>
        <w:t xml:space="preserve">je možné využiť túto formuláciu pre </w:t>
      </w:r>
      <w:r w:rsidR="008320FC">
        <w:t xml:space="preserve">právne </w:t>
      </w:r>
      <w:r>
        <w:t>zakotvenie Mobilné</w:t>
      </w:r>
      <w:r w:rsidR="00242D29">
        <w:t>ho</w:t>
      </w:r>
      <w:r>
        <w:t xml:space="preserve"> ID, potom je </w:t>
      </w:r>
      <w:r w:rsidRPr="006D6E9C">
        <w:t>potrebné</w:t>
      </w:r>
      <w:r>
        <w:t> </w:t>
      </w:r>
      <w:r w:rsidR="009A3E12">
        <w:t>otvoriť</w:t>
      </w:r>
      <w:r>
        <w:t xml:space="preserve"> </w:t>
      </w:r>
      <w:r w:rsidR="009A3E12">
        <w:t>a kvalitne podporovať rozhranie</w:t>
      </w:r>
      <w:r w:rsidRPr="006D6E9C">
        <w:t xml:space="preserve"> pre použitie autentifikačného certifikátu</w:t>
      </w:r>
      <w:r>
        <w:t xml:space="preserve"> vo všeobecnosti</w:t>
      </w:r>
      <w:r w:rsidR="009A3E12">
        <w:t>, teda umožniť</w:t>
      </w:r>
      <w:r>
        <w:t> </w:t>
      </w:r>
      <w:r w:rsidR="009A3E12">
        <w:t>využitie</w:t>
      </w:r>
      <w:r>
        <w:t xml:space="preserve"> </w:t>
      </w:r>
      <w:r w:rsidR="009A3E12">
        <w:t xml:space="preserve">nie len aplikácie od štátu, ale aj </w:t>
      </w:r>
      <w:r>
        <w:t xml:space="preserve">aplikácii rôznych </w:t>
      </w:r>
      <w:r w:rsidR="009A3E12">
        <w:t xml:space="preserve">iných </w:t>
      </w:r>
      <w:r>
        <w:t>poskytovateľov.</w:t>
      </w:r>
      <w:r w:rsidR="009A3E12">
        <w:t xml:space="preserve"> </w:t>
      </w:r>
      <w:r w:rsidR="002D44A6">
        <w:t xml:space="preserve">Cieľom takéhoto otvoreného rozhrania je dosiahnuť, aby nebolo použitie autentifikačného certifikátu limitované na konkrétne riešenie, ale poskytovalo efektívny spôsob autentifikácie používateľov. Za zváženie stojí možnosť využitia kvalifikovaných autentifikačných certifikátov, ktorá zjednoduší proces registrácie certifikátu pre autentifikáciu. </w:t>
      </w:r>
      <w:r w:rsidR="009A3E12">
        <w:t xml:space="preserve">Zároveň by bolo potrebné legislatívne umožniť uznávanie tohto spôsobu </w:t>
      </w:r>
      <w:r w:rsidR="005D4BB4">
        <w:t>overovania identity</w:t>
      </w:r>
      <w:r w:rsidR="008320FC">
        <w:t xml:space="preserve"> komerčnými subjektami, najmä finančnými inštitúciami, </w:t>
      </w:r>
      <w:r w:rsidR="009A3E12">
        <w:t>prostredníctvom</w:t>
      </w:r>
      <w:r w:rsidR="008320FC">
        <w:t xml:space="preserve"> doplnenia</w:t>
      </w:r>
      <w:r w:rsidR="009A3E12">
        <w:t xml:space="preserve"> zákona</w:t>
      </w:r>
      <w:r w:rsidR="008320FC">
        <w:t xml:space="preserve"> č.</w:t>
      </w:r>
      <w:r w:rsidR="009A3E12">
        <w:t xml:space="preserve"> 297/2008 o ochrane pred legalizáciou príjmov z trestnej činnosti a financovaním terorizmu.</w:t>
      </w:r>
    </w:p>
    <w:p w:rsidR="009A3E12" w:rsidRDefault="009A3E12" w:rsidP="00AA59CE">
      <w:pPr>
        <w:pStyle w:val="ListParagraph"/>
        <w:numPr>
          <w:ilvl w:val="2"/>
          <w:numId w:val="1"/>
        </w:numPr>
        <w:spacing w:before="120"/>
        <w:contextualSpacing w:val="0"/>
        <w:jc w:val="both"/>
      </w:pPr>
      <w:r>
        <w:t xml:space="preserve">V prípade, že z výkladu vyplynie zamietavé stanovisko pre možnosť využitia tohto inštitútu, potom je nutné využiť inú alebo zaviesť novú legislatívnu bázu. </w:t>
      </w:r>
      <w:r w:rsidR="008320FC">
        <w:t>Tiež platí, že by z</w:t>
      </w:r>
      <w:r>
        <w:t xml:space="preserve">ároveň bolo potrebné legislatívne umožniť uznávanie tohto spôsobu </w:t>
      </w:r>
      <w:r w:rsidR="005D4BB4">
        <w:t>overovania identity</w:t>
      </w:r>
      <w:r>
        <w:t xml:space="preserve"> komerčnými subjektami, najmä </w:t>
      </w:r>
      <w:r w:rsidR="008320FC">
        <w:t>finančnými inštitúciami,</w:t>
      </w:r>
      <w:r>
        <w:t xml:space="preserve"> prostredníctvom </w:t>
      </w:r>
      <w:r w:rsidR="008320FC">
        <w:t xml:space="preserve">doplnenia </w:t>
      </w:r>
      <w:r>
        <w:t xml:space="preserve">zákona </w:t>
      </w:r>
      <w:r w:rsidR="008320FC">
        <w:t xml:space="preserve">č. </w:t>
      </w:r>
      <w:r>
        <w:t>297/2008 o ochrane pred legalizáciou príjmov z trestnej činnosti a financovaním terorizmu.</w:t>
      </w:r>
    </w:p>
    <w:p w:rsidR="009A3E12" w:rsidRDefault="00225713" w:rsidP="005230F7">
      <w:pPr>
        <w:pStyle w:val="ListParagraph"/>
        <w:numPr>
          <w:ilvl w:val="1"/>
          <w:numId w:val="1"/>
        </w:numPr>
        <w:spacing w:before="120"/>
        <w:contextualSpacing w:val="0"/>
      </w:pPr>
      <w:r w:rsidRPr="00023AAF">
        <w:rPr>
          <w:b/>
        </w:rPr>
        <w:t>Úprava IAM UPVS</w:t>
      </w:r>
      <w:r>
        <w:t xml:space="preserve">: </w:t>
      </w:r>
      <w:r w:rsidR="00242D29">
        <w:t>Prehodnotiť a podľa potreby u</w:t>
      </w:r>
      <w:r>
        <w:t xml:space="preserve">praviť súčasnú implementáciu IAM UPVS a výslednej autorizácie prístupu prostredníctvom SAML </w:t>
      </w:r>
      <w:proofErr w:type="spellStart"/>
      <w:r>
        <w:t>assertion</w:t>
      </w:r>
      <w:proofErr w:type="spellEnd"/>
      <w:r>
        <w:t xml:space="preserve"> pre dosiahnutie korektného spôsobu implementácie použiteľného univerzálne aj pre komerčný sektor</w:t>
      </w:r>
      <w:r w:rsidR="00242D29">
        <w:t>. Navrhujeme oddeliť proces identifikácie a </w:t>
      </w:r>
      <w:proofErr w:type="spellStart"/>
      <w:r w:rsidR="00242D29">
        <w:t>autetifkácie</w:t>
      </w:r>
      <w:proofErr w:type="spellEnd"/>
      <w:r w:rsidR="00242D29">
        <w:t xml:space="preserve"> </w:t>
      </w:r>
      <w:r w:rsidR="005D7DA0">
        <w:t xml:space="preserve">používateľa </w:t>
      </w:r>
      <w:r w:rsidR="00242D29">
        <w:t xml:space="preserve">od procesu </w:t>
      </w:r>
      <w:r w:rsidR="005D7DA0">
        <w:t xml:space="preserve">jeho </w:t>
      </w:r>
      <w:r w:rsidR="00242D29">
        <w:t>autorizácie</w:t>
      </w:r>
      <w:r w:rsidR="005D7DA0">
        <w:t xml:space="preserve"> (</w:t>
      </w:r>
      <w:proofErr w:type="spellStart"/>
      <w:r w:rsidR="005D7DA0">
        <w:t>t.j</w:t>
      </w:r>
      <w:proofErr w:type="spellEnd"/>
      <w:r w:rsidR="005D7DA0">
        <w:t xml:space="preserve">. určenia jeho </w:t>
      </w:r>
      <w:r>
        <w:t>rol</w:t>
      </w:r>
      <w:r w:rsidR="005D7DA0">
        <w:t xml:space="preserve">e, resp. </w:t>
      </w:r>
      <w:r>
        <w:t>oprávnen</w:t>
      </w:r>
      <w:r w:rsidR="005D7DA0">
        <w:t>í</w:t>
      </w:r>
      <w:r>
        <w:t xml:space="preserve"> pre prístup ku schránke atď.</w:t>
      </w:r>
      <w:r w:rsidR="005D7DA0">
        <w:t>)</w:t>
      </w:r>
      <w:r w:rsidR="00520709">
        <w:t xml:space="preserve">. </w:t>
      </w:r>
      <w:r w:rsidR="002D44A6">
        <w:t xml:space="preserve">V súčasnosti je tento proces spojený s pridelením prístupu ku schránke, čoho dôsledkom je potreba opätovného použitia </w:t>
      </w:r>
      <w:proofErr w:type="spellStart"/>
      <w:r w:rsidR="002D44A6">
        <w:t>eID</w:t>
      </w:r>
      <w:proofErr w:type="spellEnd"/>
      <w:r w:rsidR="002D44A6">
        <w:t xml:space="preserve"> pri prístupe k inej schránke. Tento spôsob odporuje princípu Single-</w:t>
      </w:r>
      <w:proofErr w:type="spellStart"/>
      <w:r w:rsidR="002D44A6">
        <w:t>Sign</w:t>
      </w:r>
      <w:proofErr w:type="spellEnd"/>
      <w:r w:rsidR="002D44A6">
        <w:t>-On.</w:t>
      </w:r>
      <w:r w:rsidR="002D44A6" w:rsidRPr="002D44A6">
        <w:t xml:space="preserve"> </w:t>
      </w:r>
      <w:r w:rsidR="002D44A6">
        <w:lastRenderedPageBreak/>
        <w:t>Slovensko.sk toto realizuje pre získanie oprávnenia pre prístup do schránky, táto informácie je však pre ostatné subjekty nepotrebná a môže viesť k publikovaniu informácií, ktoré môžu byť následne zneužité. Navrhujeme poskytovať SAML token len s overením identity, ktorý spoliehajúca sa strana následne použije na pridelenie oprávnení podľa svojej potreby.</w:t>
      </w:r>
      <w:r w:rsidR="002D44A6">
        <w:br/>
        <w:t>Z architektonického pohľadu by bolo vhodné jasne definovať, akú funkcionalitu rieši IAM ÚPVS:</w:t>
      </w:r>
      <w:r w:rsidR="002D44A6">
        <w:br/>
        <w:t xml:space="preserve"> - Identifikácia, Autentifikácia – Identity </w:t>
      </w:r>
      <w:proofErr w:type="spellStart"/>
      <w:r w:rsidR="002D44A6">
        <w:t>provider</w:t>
      </w:r>
      <w:proofErr w:type="spellEnd"/>
      <w:r w:rsidR="002D44A6">
        <w:br/>
        <w:t xml:space="preserve"> - Autorizácia – </w:t>
      </w:r>
      <w:proofErr w:type="spellStart"/>
      <w:r w:rsidR="002D44A6">
        <w:t>Attribute</w:t>
      </w:r>
      <w:proofErr w:type="spellEnd"/>
      <w:r w:rsidR="002D44A6">
        <w:t xml:space="preserve"> </w:t>
      </w:r>
      <w:proofErr w:type="spellStart"/>
      <w:r w:rsidR="002D44A6">
        <w:t>provider</w:t>
      </w:r>
      <w:proofErr w:type="spellEnd"/>
      <w:r w:rsidR="002D44A6">
        <w:br/>
        <w:t xml:space="preserve">Pre obe oblasti (min. však pre identifikáciu a autentifikáciu) by bolo vhodné definovať ako ich bude možne rozšíriť o iné možnosti poskytnutia funkcionality od </w:t>
      </w:r>
      <w:proofErr w:type="spellStart"/>
      <w:r w:rsidR="002D44A6">
        <w:t>tret</w:t>
      </w:r>
      <w:r w:rsidR="002D44A6">
        <w:rPr>
          <w:lang w:val="en-US"/>
        </w:rPr>
        <w:t>ích</w:t>
      </w:r>
      <w:proofErr w:type="spellEnd"/>
      <w:r w:rsidR="002D44A6">
        <w:rPr>
          <w:lang w:val="en-US"/>
        </w:rPr>
        <w:t xml:space="preserve"> </w:t>
      </w:r>
      <w:proofErr w:type="spellStart"/>
      <w:r w:rsidR="002D44A6">
        <w:rPr>
          <w:lang w:val="en-US"/>
        </w:rPr>
        <w:t>str</w:t>
      </w:r>
      <w:r w:rsidR="002D44A6">
        <w:t>án</w:t>
      </w:r>
      <w:proofErr w:type="spellEnd"/>
      <w:r w:rsidR="002D44A6">
        <w:t>.</w:t>
      </w:r>
    </w:p>
    <w:p w:rsidR="006E27E6" w:rsidRDefault="00225713" w:rsidP="00AA59CE">
      <w:pPr>
        <w:pStyle w:val="ListParagraph"/>
        <w:numPr>
          <w:ilvl w:val="1"/>
          <w:numId w:val="1"/>
        </w:numPr>
        <w:spacing w:before="120"/>
        <w:contextualSpacing w:val="0"/>
        <w:jc w:val="both"/>
      </w:pPr>
      <w:r w:rsidRPr="005741CC">
        <w:rPr>
          <w:b/>
        </w:rPr>
        <w:t xml:space="preserve">Určenie cieľovej bezpečnostnej úrovne autentifikácie Mobilné </w:t>
      </w:r>
      <w:proofErr w:type="spellStart"/>
      <w:r w:rsidRPr="005741CC">
        <w:rPr>
          <w:b/>
        </w:rPr>
        <w:t>eID</w:t>
      </w:r>
      <w:proofErr w:type="spellEnd"/>
      <w:r w:rsidRPr="005741CC">
        <w:rPr>
          <w:b/>
        </w:rPr>
        <w:t xml:space="preserve"> a klasifikácia služieb podľa úrovne autentifikácie:</w:t>
      </w:r>
      <w:r>
        <w:t xml:space="preserve"> Je potrebné stanoviť cieľovú bezpečnostnú úroveň </w:t>
      </w:r>
      <w:r w:rsidR="005D7DA0">
        <w:t xml:space="preserve">pre </w:t>
      </w:r>
      <w:r>
        <w:t>autentifikáci</w:t>
      </w:r>
      <w:r w:rsidR="005D7DA0">
        <w:t>u</w:t>
      </w:r>
      <w:r>
        <w:t xml:space="preserve"> </w:t>
      </w:r>
      <w:r w:rsidR="005D7DA0">
        <w:t xml:space="preserve">na základe </w:t>
      </w:r>
      <w:r>
        <w:t>Mobilné</w:t>
      </w:r>
      <w:r w:rsidR="005D7DA0">
        <w:t>ho</w:t>
      </w:r>
      <w:r>
        <w:t xml:space="preserve"> ID s rešpektovaním </w:t>
      </w:r>
      <w:hyperlink r:id="rId8" w:history="1">
        <w:r w:rsidRPr="00722896">
          <w:rPr>
            <w:rStyle w:val="Hyperlink"/>
          </w:rPr>
          <w:t xml:space="preserve">vládou schválených výstupov </w:t>
        </w:r>
        <w:r w:rsidR="005741CC" w:rsidRPr="00722896">
          <w:rPr>
            <w:rStyle w:val="Hyperlink"/>
          </w:rPr>
          <w:t xml:space="preserve">pracovných skupín ÚPVII, konkrétne skupiny Lepšie služby – </w:t>
        </w:r>
        <w:proofErr w:type="spellStart"/>
        <w:r w:rsidR="005741CC" w:rsidRPr="00722896">
          <w:rPr>
            <w:rStyle w:val="Hyperlink"/>
          </w:rPr>
          <w:t>Multikanálový</w:t>
        </w:r>
        <w:proofErr w:type="spellEnd"/>
        <w:r w:rsidR="005741CC" w:rsidRPr="00722896">
          <w:rPr>
            <w:rStyle w:val="Hyperlink"/>
          </w:rPr>
          <w:t xml:space="preserve"> prístup</w:t>
        </w:r>
      </w:hyperlink>
      <w:r w:rsidR="005741CC">
        <w:t>, ktorá približuje možnosti dosiahnutia bezpečnostných úrovní, výber stratégie a odôvodnenie a dokonca uvádza: „</w:t>
      </w:r>
      <w:r w:rsidR="005741CC" w:rsidRPr="005741CC">
        <w:rPr>
          <w:i/>
        </w:rPr>
        <w:t>Okrem určenia technického spôsobu prevedenia mobilnej autentifikácie v súlade s bezpečnostnými požiadavkami, bude vykonaná biznis analýza koncových služieb v gescii jednotlivých orgánov verejnej moci za účelom revízie požadovanej úrovne autentifikácie s jej potenciálnym znížením na úroveň, ktorá zabezpečí čo najrýchlejší prístup aj z mobilných zariadení.</w:t>
      </w:r>
      <w:r w:rsidR="005741CC">
        <w:t>“ S ohľadom na</w:t>
      </w:r>
      <w:r w:rsidR="00F40D17">
        <w:t xml:space="preserve"> deklarovanú</w:t>
      </w:r>
      <w:r w:rsidR="005741CC">
        <w:t xml:space="preserve"> motiváciu a sledované ciele nie je nevyhnutná </w:t>
      </w:r>
      <w:r>
        <w:t xml:space="preserve">realizácia </w:t>
      </w:r>
      <w:r w:rsidR="006E27E6">
        <w:t>M</w:t>
      </w:r>
      <w:r>
        <w:t xml:space="preserve">obilnej </w:t>
      </w:r>
      <w:r w:rsidR="006E27E6">
        <w:t>ID</w:t>
      </w:r>
      <w:r>
        <w:t xml:space="preserve"> </w:t>
      </w:r>
      <w:r w:rsidR="006E27E6">
        <w:t>s bezpečnostnou</w:t>
      </w:r>
      <w:r w:rsidRPr="00225713">
        <w:t xml:space="preserve"> </w:t>
      </w:r>
      <w:r w:rsidR="006E27E6">
        <w:t>úrovňou</w:t>
      </w:r>
      <w:r w:rsidRPr="00225713">
        <w:t xml:space="preserve"> „Vysoká“</w:t>
      </w:r>
      <w:r w:rsidR="006E27E6">
        <w:t xml:space="preserve"> a</w:t>
      </w:r>
      <w:r w:rsidR="00F40D17">
        <w:t xml:space="preserve"> </w:t>
      </w:r>
      <w:r w:rsidR="006E27E6">
        <w:t>sprístupnenie všetkých služieb. P</w:t>
      </w:r>
      <w:r>
        <w:t>re</w:t>
      </w:r>
      <w:r w:rsidR="006E27E6">
        <w:t xml:space="preserve"> prístup ku</w:t>
      </w:r>
      <w:r w:rsidR="006E27E6" w:rsidRPr="00225713">
        <w:t xml:space="preserve"> služb</w:t>
      </w:r>
      <w:r w:rsidR="006E27E6">
        <w:t>ám</w:t>
      </w:r>
      <w:r w:rsidR="006E27E6" w:rsidRPr="00225713">
        <w:t xml:space="preserve"> kritickej povahy z pohľadu dopadu na práva a povinnosti občana</w:t>
      </w:r>
      <w:r>
        <w:t xml:space="preserve"> </w:t>
      </w:r>
      <w:r w:rsidRPr="00225713">
        <w:t>slúži a naďalej bude slúžiť</w:t>
      </w:r>
      <w:r>
        <w:t xml:space="preserve"> úradný </w:t>
      </w:r>
      <w:proofErr w:type="spellStart"/>
      <w:r>
        <w:t>autentifikátor</w:t>
      </w:r>
      <w:proofErr w:type="spellEnd"/>
      <w:r>
        <w:t xml:space="preserve"> </w:t>
      </w:r>
      <w:proofErr w:type="spellStart"/>
      <w:r>
        <w:t>eID</w:t>
      </w:r>
      <w:proofErr w:type="spellEnd"/>
      <w:r>
        <w:t>/</w:t>
      </w:r>
      <w:proofErr w:type="spellStart"/>
      <w:r>
        <w:t>eDoPP</w:t>
      </w:r>
      <w:proofErr w:type="spellEnd"/>
      <w:r w:rsidR="006E27E6">
        <w:t xml:space="preserve">. Navyše, bezpečnostné prvky </w:t>
      </w:r>
      <w:proofErr w:type="spellStart"/>
      <w:r w:rsidR="006E27E6">
        <w:t>eID</w:t>
      </w:r>
      <w:proofErr w:type="spellEnd"/>
      <w:r w:rsidR="006E27E6">
        <w:t xml:space="preserve"> a navrhovaného Mobilné </w:t>
      </w:r>
      <w:r w:rsidRPr="00225713">
        <w:t>ID nie sú porovnateľné resp. ekvivalentné.</w:t>
      </w:r>
      <w:r w:rsidR="00D63E6A" w:rsidRPr="00D63E6A">
        <w:t xml:space="preserve"> Popis súčasného návrhu riešenia a prvkov naznačuje, že </w:t>
      </w:r>
      <w:r w:rsidR="00D63E6A">
        <w:t xml:space="preserve">úroveň </w:t>
      </w:r>
      <w:r w:rsidR="00D63E6A" w:rsidRPr="00D63E6A">
        <w:t xml:space="preserve">„Vysoká“ je  málo pravdepodobne dosiahnuteľná ak berieme do úvahy najmä vykonávacie nariadenie </w:t>
      </w:r>
      <w:hyperlink r:id="rId9" w:history="1">
        <w:proofErr w:type="spellStart"/>
        <w:r w:rsidR="00D63E6A" w:rsidRPr="00722896">
          <w:rPr>
            <w:rStyle w:val="Hyperlink"/>
          </w:rPr>
          <w:t>eIDAS</w:t>
        </w:r>
        <w:proofErr w:type="spellEnd"/>
        <w:r w:rsidR="00D63E6A" w:rsidRPr="00722896">
          <w:rPr>
            <w:rStyle w:val="Hyperlink"/>
          </w:rPr>
          <w:t xml:space="preserve"> 1502/2015</w:t>
        </w:r>
      </w:hyperlink>
      <w:r w:rsidR="00D63E6A" w:rsidRPr="00D63E6A">
        <w:t xml:space="preserve"> s väzbou (viď recitál 4) na </w:t>
      </w:r>
      <w:hyperlink r:id="rId10" w:history="1">
        <w:r w:rsidR="00D63E6A" w:rsidRPr="00722896">
          <w:rPr>
            <w:rStyle w:val="Hyperlink"/>
          </w:rPr>
          <w:t>STORK</w:t>
        </w:r>
      </w:hyperlink>
      <w:r w:rsidR="00D63E6A" w:rsidRPr="00D63E6A">
        <w:t>, ISO/IEC 29115</w:t>
      </w:r>
      <w:r w:rsidR="00722896">
        <w:t xml:space="preserve"> atď.</w:t>
      </w:r>
      <w:r w:rsidR="006E27E6">
        <w:t xml:space="preserve"> Predpokladá sa tiež kategorizácia služieb podľa ich povahy a požadovanej úrovne autentifikácie. Rovnako by sa mali zosúladiť lokálne bezpečnostné úrovne autentifikácie vyplývajúce zo štandardov IS VS a nariadenia </w:t>
      </w:r>
      <w:proofErr w:type="spellStart"/>
      <w:r w:rsidR="006E27E6">
        <w:t>eIDAS</w:t>
      </w:r>
      <w:proofErr w:type="spellEnd"/>
      <w:r w:rsidR="006E27E6">
        <w:t xml:space="preserve"> a súvisiaceho vykonávacieho nariadenia </w:t>
      </w:r>
      <w:proofErr w:type="spellStart"/>
      <w:r w:rsidR="006E27E6">
        <w:t>eIDAS</w:t>
      </w:r>
      <w:proofErr w:type="spellEnd"/>
      <w:r w:rsidR="006E27E6">
        <w:t xml:space="preserve"> č. 2015/1502.</w:t>
      </w:r>
    </w:p>
    <w:p w:rsidR="00E66C29" w:rsidRDefault="006E27E6" w:rsidP="00AA59CE">
      <w:pPr>
        <w:pStyle w:val="ListParagraph"/>
        <w:numPr>
          <w:ilvl w:val="1"/>
          <w:numId w:val="1"/>
        </w:numPr>
        <w:spacing w:before="120"/>
        <w:contextualSpacing w:val="0"/>
        <w:jc w:val="both"/>
      </w:pPr>
      <w:r w:rsidRPr="00E66C29">
        <w:rPr>
          <w:b/>
        </w:rPr>
        <w:t xml:space="preserve">Využiteľnosť Mobilného ID komerčným sektorom podľa legislatívnych požiadaviek: </w:t>
      </w:r>
      <w:r>
        <w:t>Aby bolo umožnené</w:t>
      </w:r>
      <w:r w:rsidR="00E66C29">
        <w:t xml:space="preserve"> komerčné</w:t>
      </w:r>
      <w:r>
        <w:t xml:space="preserve"> využí</w:t>
      </w:r>
      <w:r w:rsidR="00E66C29">
        <w:t>vanie Mobilného ID v súlade s ambíciami formulovanými v zámere, je potrebná analýza aspoň základných prípadov použitia a tiež aspoň stručná legislatívna analýza takéhoto používania</w:t>
      </w:r>
      <w:r w:rsidR="00C347D3">
        <w:t xml:space="preserve"> za účelom identifikácie dodatočných technických požiadaviek</w:t>
      </w:r>
    </w:p>
    <w:p w:rsidR="00C347D3" w:rsidRDefault="00E66C29" w:rsidP="00AA59CE">
      <w:pPr>
        <w:pStyle w:val="ListParagraph"/>
        <w:numPr>
          <w:ilvl w:val="2"/>
          <w:numId w:val="1"/>
        </w:numPr>
        <w:spacing w:before="120"/>
        <w:contextualSpacing w:val="0"/>
        <w:jc w:val="both"/>
      </w:pPr>
      <w:r w:rsidRPr="00C347D3">
        <w:rPr>
          <w:b/>
        </w:rPr>
        <w:t>Pre inštitúcie finančného sektora</w:t>
      </w:r>
      <w:r>
        <w:t xml:space="preserve"> to záleží najmä od rešpektovania záväzného legislatívneho rámca – minimálne v rozsahu: </w:t>
      </w:r>
    </w:p>
    <w:p w:rsidR="00C347D3" w:rsidRDefault="00C8688D" w:rsidP="00AA59CE">
      <w:pPr>
        <w:pStyle w:val="ListParagraph"/>
        <w:spacing w:before="120"/>
        <w:ind w:left="1224"/>
        <w:contextualSpacing w:val="0"/>
        <w:jc w:val="both"/>
      </w:pPr>
      <w:r w:rsidRPr="00C8688D">
        <w:rPr>
          <w:b/>
        </w:rPr>
        <w:t>a)</w:t>
      </w:r>
      <w:r w:rsidR="00C347D3" w:rsidRPr="00C8688D">
        <w:rPr>
          <w:b/>
        </w:rPr>
        <w:t xml:space="preserve"> </w:t>
      </w:r>
      <w:hyperlink r:id="rId11" w:anchor="paragraf-7" w:history="1">
        <w:r w:rsidR="00E66C29" w:rsidRPr="00722896">
          <w:rPr>
            <w:rStyle w:val="Hyperlink"/>
            <w:b/>
          </w:rPr>
          <w:t>zákon č. 297/2008</w:t>
        </w:r>
      </w:hyperlink>
      <w:r w:rsidR="00E66C29">
        <w:t xml:space="preserve"> o ochrane pred legalizáciou príjmov z trestnej činnosti a pred financovaním terorizmu (transponovaná AML4 smernica). Najmä §7 a §8 špecificky pre prípad založenia účtu – tzv. online </w:t>
      </w:r>
      <w:proofErr w:type="spellStart"/>
      <w:r w:rsidR="00E66C29">
        <w:t>onboarding</w:t>
      </w:r>
      <w:proofErr w:type="spellEnd"/>
      <w:r w:rsidR="00E66C29">
        <w:t xml:space="preserve">, ktorý je pre banky veľmi atraktívny a aktuálny, pričom vyžaduje aj typ a číslo dokladu totožnosti, ale pre prípad použitia na prihlasovanie do mobilného resp. </w:t>
      </w:r>
      <w:r w:rsidR="00137AD1">
        <w:t>elektronického bankovníctva</w:t>
      </w:r>
      <w:r w:rsidR="00E66C29">
        <w:t xml:space="preserve"> (pre banky menej atraktívne) už typ a číslo dokladu nie je nevyhnutné. </w:t>
      </w:r>
      <w:r w:rsidR="00137AD1">
        <w:t>Bolo by žiadúce vykonanie kontroly platnosti deklarovaného čísla dokladu totožnosti a overenie stavu v agende dokladov Ministerstva Vnútra SR.</w:t>
      </w:r>
    </w:p>
    <w:p w:rsidR="00C347D3" w:rsidRDefault="00C8688D" w:rsidP="00AA59CE">
      <w:pPr>
        <w:pStyle w:val="ListParagraph"/>
        <w:spacing w:before="120"/>
        <w:ind w:left="1224"/>
        <w:contextualSpacing w:val="0"/>
        <w:jc w:val="both"/>
      </w:pPr>
      <w:r w:rsidRPr="00C8688D">
        <w:rPr>
          <w:b/>
        </w:rPr>
        <w:t>b)</w:t>
      </w:r>
      <w:r w:rsidR="00C347D3">
        <w:t xml:space="preserve"> </w:t>
      </w:r>
      <w:hyperlink r:id="rId12" w:anchor="paragraf-3c" w:history="1">
        <w:r w:rsidR="00C347D3" w:rsidRPr="00722896">
          <w:rPr>
            <w:rStyle w:val="Hyperlink"/>
            <w:b/>
          </w:rPr>
          <w:t>zákon</w:t>
        </w:r>
        <w:r w:rsidR="00E66C29" w:rsidRPr="00722896">
          <w:rPr>
            <w:rStyle w:val="Hyperlink"/>
            <w:b/>
          </w:rPr>
          <w:t xml:space="preserve"> č. 492/2009</w:t>
        </w:r>
      </w:hyperlink>
      <w:r w:rsidR="00E66C29">
        <w:t xml:space="preserve"> o platobných službách (transponovaná PSD2 smernica) - § 3c Silná autentifikácia používateľa platobných služieb podľa </w:t>
      </w:r>
      <w:hyperlink r:id="rId13" w:history="1">
        <w:r w:rsidR="00E66C29" w:rsidRPr="00722896">
          <w:rPr>
            <w:rStyle w:val="Hyperlink"/>
          </w:rPr>
          <w:t xml:space="preserve">regulatívneho technického štandardu od </w:t>
        </w:r>
        <w:proofErr w:type="spellStart"/>
        <w:r w:rsidR="00E66C29" w:rsidRPr="00722896">
          <w:rPr>
            <w:rStyle w:val="Hyperlink"/>
          </w:rPr>
          <w:t>European</w:t>
        </w:r>
        <w:proofErr w:type="spellEnd"/>
        <w:r w:rsidR="00E66C29" w:rsidRPr="00722896">
          <w:rPr>
            <w:rStyle w:val="Hyperlink"/>
          </w:rPr>
          <w:t xml:space="preserve"> Banking </w:t>
        </w:r>
        <w:proofErr w:type="spellStart"/>
        <w:r w:rsidR="00E66C29" w:rsidRPr="00722896">
          <w:rPr>
            <w:rStyle w:val="Hyperlink"/>
          </w:rPr>
          <w:t>Authority</w:t>
        </w:r>
        <w:proofErr w:type="spellEnd"/>
      </w:hyperlink>
      <w:r w:rsidR="00E66C29">
        <w:t xml:space="preserve">. Z uvedeného legislatívneho rámca vyplývajú technické aspekty rozhodujúce o relevantnosti a akceptácii </w:t>
      </w:r>
      <w:r w:rsidR="00C347D3">
        <w:t>Mobilné</w:t>
      </w:r>
      <w:r w:rsidR="005D7DA0">
        <w:t>ho</w:t>
      </w:r>
      <w:r w:rsidR="00C347D3">
        <w:t xml:space="preserve"> ID</w:t>
      </w:r>
      <w:r w:rsidR="00E66C29">
        <w:t xml:space="preserve"> vo finančnom sektore – najmä vo väzbe na viacúčelové zariadenia (vrátane mobilov)</w:t>
      </w:r>
      <w:r w:rsidR="00137AD1">
        <w:t xml:space="preserve"> a dynamickú autorizáciu transakcií</w:t>
      </w:r>
      <w:r w:rsidR="00E66C29">
        <w:t>.</w:t>
      </w:r>
      <w:r w:rsidR="00C347D3" w:rsidRPr="00C347D3">
        <w:t xml:space="preserve"> </w:t>
      </w:r>
    </w:p>
    <w:p w:rsidR="009C183D" w:rsidRDefault="00C347D3" w:rsidP="006B58E2">
      <w:pPr>
        <w:pStyle w:val="ListParagraph"/>
        <w:numPr>
          <w:ilvl w:val="2"/>
          <w:numId w:val="1"/>
        </w:numPr>
        <w:spacing w:before="120"/>
        <w:contextualSpacing w:val="0"/>
        <w:jc w:val="both"/>
      </w:pPr>
      <w:r w:rsidRPr="00C347D3">
        <w:rPr>
          <w:b/>
        </w:rPr>
        <w:t>Pre ostatné menej regulované inštitúcie</w:t>
      </w:r>
      <w:r>
        <w:t xml:space="preserve"> (utility, zdravotníctvo....) záleží od očakávaní a prípadov použitia, či už dvojfaktorové prihlasovanie, online </w:t>
      </w:r>
      <w:proofErr w:type="spellStart"/>
      <w:r>
        <w:t>onboarding</w:t>
      </w:r>
      <w:proofErr w:type="spellEnd"/>
      <w:r>
        <w:t>, dokazovanie prítomnosti</w:t>
      </w:r>
      <w:r w:rsidR="00722896">
        <w:t xml:space="preserve"> a iné</w:t>
      </w:r>
    </w:p>
    <w:p w:rsidR="00C8688D" w:rsidRDefault="00C8688D" w:rsidP="00F40D17">
      <w:pPr>
        <w:pStyle w:val="Heading2"/>
        <w:numPr>
          <w:ilvl w:val="0"/>
          <w:numId w:val="1"/>
        </w:numPr>
        <w:jc w:val="both"/>
        <w:rPr>
          <w:b/>
          <w:color w:val="auto"/>
        </w:rPr>
      </w:pPr>
      <w:r w:rsidRPr="00C8688D">
        <w:rPr>
          <w:b/>
          <w:color w:val="auto"/>
        </w:rPr>
        <w:lastRenderedPageBreak/>
        <w:t>A</w:t>
      </w:r>
      <w:r>
        <w:rPr>
          <w:b/>
          <w:color w:val="auto"/>
        </w:rPr>
        <w:t>utorizačná časť</w:t>
      </w:r>
    </w:p>
    <w:p w:rsidR="00D01437" w:rsidRDefault="00714996" w:rsidP="00654FE2">
      <w:pPr>
        <w:pStyle w:val="ListParagraph"/>
        <w:spacing w:before="120"/>
        <w:ind w:left="0"/>
        <w:contextualSpacing w:val="0"/>
        <w:jc w:val="both"/>
      </w:pPr>
      <w:r w:rsidRPr="0030088A">
        <w:t xml:space="preserve">V tejto časti sme </w:t>
      </w:r>
      <w:r w:rsidR="00E85715">
        <w:t xml:space="preserve">na pôde </w:t>
      </w:r>
      <w:proofErr w:type="spellStart"/>
      <w:r w:rsidR="00E85715">
        <w:t>ITASu</w:t>
      </w:r>
      <w:proofErr w:type="spellEnd"/>
      <w:r w:rsidR="00E85715">
        <w:t xml:space="preserve"> </w:t>
      </w:r>
      <w:r w:rsidRPr="0030088A">
        <w:t>diskutovali</w:t>
      </w:r>
      <w:r>
        <w:t xml:space="preserve"> dve </w:t>
      </w:r>
      <w:r w:rsidR="00470CD3">
        <w:t xml:space="preserve">relevantné </w:t>
      </w:r>
      <w:r>
        <w:t>alternatívy, ktoré sa ponúkajú v</w:t>
      </w:r>
      <w:r w:rsidR="001008B7">
        <w:t> </w:t>
      </w:r>
      <w:r>
        <w:t>zmysle</w:t>
      </w:r>
      <w:r w:rsidR="001008B7">
        <w:t xml:space="preserve"> doteraz realizovaných krokov v oblasti </w:t>
      </w:r>
      <w:proofErr w:type="spellStart"/>
      <w:r w:rsidR="001008B7">
        <w:t>eGovernmentu</w:t>
      </w:r>
      <w:proofErr w:type="spellEnd"/>
      <w:r w:rsidR="001008B7">
        <w:t xml:space="preserve"> a</w:t>
      </w:r>
      <w:r>
        <w:t xml:space="preserve"> </w:t>
      </w:r>
      <w:r w:rsidR="00654FE2">
        <w:t>informácií vyplývajúcich z prezentácie zámeru</w:t>
      </w:r>
      <w:r w:rsidR="00002462">
        <w:t xml:space="preserve">. </w:t>
      </w:r>
      <w:r>
        <w:t xml:space="preserve"> </w:t>
      </w:r>
      <w:r w:rsidR="00654FE2">
        <w:t> </w:t>
      </w:r>
      <w:r w:rsidR="003219ED">
        <w:t>Ide o</w:t>
      </w:r>
      <w:r w:rsidR="00654FE2">
        <w:t xml:space="preserve"> takzvanú autorizáciu „klikom“ a</w:t>
      </w:r>
      <w:r>
        <w:t xml:space="preserve"> </w:t>
      </w:r>
      <w:r w:rsidR="00654FE2">
        <w:t>z</w:t>
      </w:r>
      <w:r>
        <w:t>dokonalený elektronický podpis (</w:t>
      </w:r>
      <w:proofErr w:type="spellStart"/>
      <w:r>
        <w:t>A</w:t>
      </w:r>
      <w:r w:rsidR="00654FE2">
        <w:t>d</w:t>
      </w:r>
      <w:r>
        <w:t>ES</w:t>
      </w:r>
      <w:proofErr w:type="spellEnd"/>
      <w:r w:rsidR="00E85715">
        <w:t xml:space="preserve"> podľa </w:t>
      </w:r>
      <w:proofErr w:type="spellStart"/>
      <w:r w:rsidR="00E85715">
        <w:t>eIDAS</w:t>
      </w:r>
      <w:proofErr w:type="spellEnd"/>
      <w:r>
        <w:t>)</w:t>
      </w:r>
      <w:r w:rsidR="00654FE2">
        <w:t>. Tieto alternatívy by mali byť ekvivalentne zvážené</w:t>
      </w:r>
      <w:r w:rsidR="001008B7">
        <w:t xml:space="preserve"> a vyhodnotené</w:t>
      </w:r>
      <w:r w:rsidR="00654FE2">
        <w:t xml:space="preserve"> z pohľadu možnosti ich využitia pre účely autorizácie. </w:t>
      </w:r>
      <w:r w:rsidR="003626E4">
        <w:t xml:space="preserve"> K obom vyššie spomínaným alternatívam si dovoľujeme uviesť hodnotenie ich momentálnej pripravenosti k nasadeniu a návrh </w:t>
      </w:r>
      <w:r w:rsidR="002935D8">
        <w:t xml:space="preserve">opatrení pre ich  </w:t>
      </w:r>
      <w:proofErr w:type="spellStart"/>
      <w:r w:rsidR="002935D8">
        <w:t>implementovateľnosť</w:t>
      </w:r>
      <w:proofErr w:type="spellEnd"/>
      <w:r w:rsidR="002935D8">
        <w:t>.</w:t>
      </w:r>
    </w:p>
    <w:p w:rsidR="00654FE2" w:rsidRPr="00654FE2" w:rsidRDefault="00654FE2" w:rsidP="006B58E2">
      <w:pPr>
        <w:pStyle w:val="ListParagraph"/>
        <w:spacing w:before="120"/>
        <w:ind w:left="0"/>
        <w:contextualSpacing w:val="0"/>
        <w:jc w:val="both"/>
        <w:rPr>
          <w:vanish/>
        </w:rPr>
      </w:pPr>
    </w:p>
    <w:p w:rsidR="00654FE2" w:rsidRPr="00654FE2" w:rsidRDefault="00654FE2" w:rsidP="006120BF">
      <w:pPr>
        <w:pStyle w:val="ListParagraph"/>
        <w:numPr>
          <w:ilvl w:val="0"/>
          <w:numId w:val="4"/>
        </w:numPr>
        <w:spacing w:before="120"/>
        <w:contextualSpacing w:val="0"/>
        <w:jc w:val="both"/>
        <w:rPr>
          <w:vanish/>
        </w:rPr>
      </w:pPr>
    </w:p>
    <w:p w:rsidR="00654FE2" w:rsidRPr="006B58E2" w:rsidRDefault="00654FE2" w:rsidP="006120BF">
      <w:pPr>
        <w:pStyle w:val="ListParagraph"/>
        <w:numPr>
          <w:ilvl w:val="1"/>
          <w:numId w:val="4"/>
        </w:numPr>
        <w:spacing w:before="120"/>
        <w:contextualSpacing w:val="0"/>
        <w:jc w:val="both"/>
        <w:rPr>
          <w:b/>
        </w:rPr>
      </w:pPr>
      <w:r w:rsidRPr="006B58E2">
        <w:rPr>
          <w:b/>
        </w:rPr>
        <w:t>Alternatíva 1 - autorizácia „klikom“</w:t>
      </w:r>
    </w:p>
    <w:p w:rsidR="00702E30" w:rsidRPr="006B58E2" w:rsidRDefault="00AC1D9A" w:rsidP="006120BF">
      <w:pPr>
        <w:pStyle w:val="ListParagraph"/>
        <w:spacing w:before="120"/>
        <w:ind w:left="792"/>
        <w:contextualSpacing w:val="0"/>
        <w:jc w:val="both"/>
      </w:pPr>
      <w:r w:rsidRPr="006B58E2">
        <w:t>A</w:t>
      </w:r>
      <w:r w:rsidR="001008B7" w:rsidRPr="006B58E2">
        <w:t xml:space="preserve">utorizácia „klikom“ je už </w:t>
      </w:r>
      <w:r w:rsidRPr="006B58E2">
        <w:t xml:space="preserve">zakomponovaná </w:t>
      </w:r>
      <w:r w:rsidR="001008B7" w:rsidRPr="006B58E2">
        <w:t>v</w:t>
      </w:r>
      <w:r w:rsidRPr="006B58E2">
        <w:t xml:space="preserve"> súčasnej legislatíve, konkrétne v </w:t>
      </w:r>
      <w:hyperlink r:id="rId14" w:anchor="paragraf-23" w:history="1">
        <w:r w:rsidR="001008B7" w:rsidRPr="006B58E2">
          <w:rPr>
            <w:rStyle w:val="Hyperlink"/>
          </w:rPr>
          <w:t xml:space="preserve">§23 ods. 1, písm. a, bod 2.) zákona č. 305/2013 o </w:t>
        </w:r>
        <w:proofErr w:type="spellStart"/>
        <w:r w:rsidR="001008B7" w:rsidRPr="006B58E2">
          <w:rPr>
            <w:rStyle w:val="Hyperlink"/>
          </w:rPr>
          <w:t>eGovernmente</w:t>
        </w:r>
        <w:proofErr w:type="spellEnd"/>
      </w:hyperlink>
      <w:r w:rsidR="001008B7" w:rsidRPr="006B58E2">
        <w:t> v súlade s vládou schváleným výstupom „</w:t>
      </w:r>
      <w:proofErr w:type="spellStart"/>
      <w:r w:rsidR="001008B7" w:rsidRPr="006B58E2">
        <w:t>Multikanálový</w:t>
      </w:r>
      <w:proofErr w:type="spellEnd"/>
      <w:r w:rsidR="001008B7" w:rsidRPr="006B58E2">
        <w:t xml:space="preserve"> prístup“ pracovnej skupiny ÚPVII „Lepšie Služby“. </w:t>
      </w:r>
      <w:r w:rsidR="00864A20" w:rsidRPr="006B58E2">
        <w:t>Autorizácia klikom má potenciál</w:t>
      </w:r>
      <w:r w:rsidR="00952A9D" w:rsidRPr="006B58E2">
        <w:t xml:space="preserve"> na to</w:t>
      </w:r>
      <w:r w:rsidR="00864A20" w:rsidRPr="006B58E2">
        <w:t xml:space="preserve">, aby zjednodušila </w:t>
      </w:r>
      <w:r w:rsidR="00971642" w:rsidRPr="006B58E2">
        <w:t xml:space="preserve">úkon </w:t>
      </w:r>
      <w:r w:rsidR="00864A20" w:rsidRPr="006B58E2">
        <w:t>autorizáci</w:t>
      </w:r>
      <w:r w:rsidR="00971642" w:rsidRPr="006B58E2">
        <w:t>e</w:t>
      </w:r>
      <w:r w:rsidR="00864A20" w:rsidRPr="006B58E2">
        <w:t xml:space="preserve"> pre tie služby, ktoré nevyžadujú prihlásenie na bezpečnostnej úrovni </w:t>
      </w:r>
      <w:proofErr w:type="spellStart"/>
      <w:r w:rsidR="00864A20" w:rsidRPr="006B58E2">
        <w:t>eIDAS</w:t>
      </w:r>
      <w:proofErr w:type="spellEnd"/>
      <w:r w:rsidR="00864A20" w:rsidRPr="006B58E2">
        <w:t xml:space="preserve"> „Vysoká“. </w:t>
      </w:r>
      <w:r w:rsidR="00702E30" w:rsidRPr="006B58E2">
        <w:t>Avšak</w:t>
      </w:r>
      <w:r w:rsidR="001008B7" w:rsidRPr="006B58E2">
        <w:t xml:space="preserve"> identifikujeme </w:t>
      </w:r>
      <w:r w:rsidR="00702E30" w:rsidRPr="006B58E2">
        <w:t>deficity</w:t>
      </w:r>
      <w:r w:rsidR="001008B7" w:rsidRPr="006B58E2">
        <w:t xml:space="preserve"> v súvislosti s autentifikáciu „klikom“</w:t>
      </w:r>
      <w:r w:rsidR="00864A20" w:rsidRPr="006B58E2">
        <w:t xml:space="preserve"> ako je definovaná dnes v zákone, ktoré </w:t>
      </w:r>
      <w:r w:rsidR="001008B7" w:rsidRPr="006B58E2">
        <w:t xml:space="preserve">by mali byť </w:t>
      </w:r>
      <w:r w:rsidR="004B791C" w:rsidRPr="006B58E2">
        <w:t>vyriešené</w:t>
      </w:r>
      <w:r w:rsidR="001008B7" w:rsidRPr="006B58E2">
        <w:t xml:space="preserve"> pre dosiahnutie</w:t>
      </w:r>
      <w:r w:rsidR="00627B56" w:rsidRPr="006B58E2">
        <w:t xml:space="preserve"> vlastnostní potrebných pre</w:t>
      </w:r>
      <w:r w:rsidR="001008B7" w:rsidRPr="006B58E2">
        <w:t xml:space="preserve"> </w:t>
      </w:r>
      <w:r w:rsidR="00D5437D" w:rsidRPr="006B58E2">
        <w:t>cieľovú</w:t>
      </w:r>
      <w:r w:rsidR="001008B7" w:rsidRPr="006B58E2">
        <w:t xml:space="preserve"> použiteľn</w:t>
      </w:r>
      <w:r w:rsidR="00627B56" w:rsidRPr="006B58E2">
        <w:t>osť</w:t>
      </w:r>
      <w:r w:rsidR="00702E30" w:rsidRPr="006B58E2">
        <w:t>:</w:t>
      </w:r>
    </w:p>
    <w:p w:rsidR="00702E30" w:rsidRPr="006B58E2" w:rsidRDefault="00F2733C" w:rsidP="006120BF">
      <w:pPr>
        <w:pStyle w:val="ListParagraph"/>
        <w:numPr>
          <w:ilvl w:val="0"/>
          <w:numId w:val="8"/>
        </w:numPr>
        <w:spacing w:before="120"/>
        <w:contextualSpacing w:val="0"/>
        <w:jc w:val="both"/>
      </w:pPr>
      <w:r>
        <w:t>V</w:t>
      </w:r>
      <w:r w:rsidR="00864A20" w:rsidRPr="006B58E2">
        <w:t xml:space="preserve">ágna interpretácia </w:t>
      </w:r>
      <w:r w:rsidR="00702E30" w:rsidRPr="006B58E2">
        <w:t xml:space="preserve"> a </w:t>
      </w:r>
      <w:r w:rsidR="003F6608" w:rsidRPr="006B58E2">
        <w:t>absentujúca</w:t>
      </w:r>
      <w:r w:rsidR="00864A20" w:rsidRPr="006B58E2">
        <w:t xml:space="preserve"> bližšia definícia obsahu služby</w:t>
      </w:r>
      <w:r w:rsidR="00955C77" w:rsidRPr="006B58E2">
        <w:t xml:space="preserve">. </w:t>
      </w:r>
      <w:r w:rsidR="004D4320">
        <w:t>Riešením tohto problému by mohlo vypracovanie</w:t>
      </w:r>
      <w:r w:rsidR="00E85715">
        <w:t xml:space="preserve"> metodického a technologického štandardu pre</w:t>
      </w:r>
      <w:r>
        <w:t xml:space="preserve"> autorizáciu klikom. </w:t>
      </w:r>
    </w:p>
    <w:p w:rsidR="00702E30" w:rsidRPr="006B58E2" w:rsidRDefault="004D4320" w:rsidP="006120BF">
      <w:pPr>
        <w:pStyle w:val="ListParagraph"/>
        <w:numPr>
          <w:ilvl w:val="0"/>
          <w:numId w:val="8"/>
        </w:numPr>
        <w:spacing w:before="120"/>
        <w:contextualSpacing w:val="0"/>
        <w:jc w:val="both"/>
      </w:pPr>
      <w:r>
        <w:t xml:space="preserve">Nejasná právna zodpovednosť za centrálne prevádzkovanie služby. Jednou z možností eliminovania tohto problému je etablovanie  novej </w:t>
      </w:r>
      <w:r w:rsidR="00864A20" w:rsidRPr="006B58E2">
        <w:t xml:space="preserve"> kvalifikovan</w:t>
      </w:r>
      <w:r>
        <w:t>ej</w:t>
      </w:r>
      <w:r w:rsidR="00864A20" w:rsidRPr="006B58E2">
        <w:t xml:space="preserve"> dôveryhodn</w:t>
      </w:r>
      <w:r>
        <w:t>ej</w:t>
      </w:r>
      <w:r w:rsidR="00864A20" w:rsidRPr="006B58E2">
        <w:t xml:space="preserve"> službu</w:t>
      </w:r>
      <w:r>
        <w:t xml:space="preserve"> pre podpisovanie klikom. Takto by </w:t>
      </w:r>
      <w:r w:rsidR="00864A20" w:rsidRPr="006B58E2">
        <w:t xml:space="preserve"> bolo možné </w:t>
      </w:r>
      <w:r w:rsidR="00D77E39" w:rsidRPr="006B58E2">
        <w:t>dosiahnuť</w:t>
      </w:r>
      <w:r w:rsidR="007E21FA" w:rsidRPr="006B58E2">
        <w:t xml:space="preserve"> a garantovať</w:t>
      </w:r>
      <w:r w:rsidR="00864A20" w:rsidRPr="006B58E2">
        <w:t xml:space="preserve"> bezp</w:t>
      </w:r>
      <w:r w:rsidR="007E21FA" w:rsidRPr="006B58E2">
        <w:t>ečnosť, spoľahlivosť, vymedzenie</w:t>
      </w:r>
      <w:r w:rsidR="00864A20" w:rsidRPr="006B58E2">
        <w:t xml:space="preserve"> zodpovednost</w:t>
      </w:r>
      <w:r w:rsidR="007E21FA" w:rsidRPr="006B58E2">
        <w:t xml:space="preserve">í </w:t>
      </w:r>
      <w:r w:rsidR="00864A20" w:rsidRPr="006B58E2">
        <w:t>a</w:t>
      </w:r>
      <w:r w:rsidR="00D77E39" w:rsidRPr="006B58E2">
        <w:t xml:space="preserve"> hlavne</w:t>
      </w:r>
      <w:r w:rsidR="00864A20" w:rsidRPr="006B58E2">
        <w:t xml:space="preserve"> </w:t>
      </w:r>
      <w:proofErr w:type="spellStart"/>
      <w:r w:rsidR="00864A20" w:rsidRPr="006B58E2">
        <w:t>nespochybniteľnosť</w:t>
      </w:r>
      <w:proofErr w:type="spellEnd"/>
      <w:r w:rsidR="00864A20" w:rsidRPr="006B58E2">
        <w:t xml:space="preserve"> úkonu autorizácie</w:t>
      </w:r>
      <w:r w:rsidR="00971642" w:rsidRPr="006B58E2">
        <w:t xml:space="preserve"> týmto spôsobom</w:t>
      </w:r>
      <w:r w:rsidR="00F2733C">
        <w:t xml:space="preserve">. </w:t>
      </w:r>
    </w:p>
    <w:p w:rsidR="003F6608" w:rsidRPr="006B58E2" w:rsidRDefault="00654FE2" w:rsidP="006B58E2">
      <w:pPr>
        <w:pStyle w:val="ListParagraph"/>
        <w:numPr>
          <w:ilvl w:val="1"/>
          <w:numId w:val="4"/>
        </w:numPr>
        <w:spacing w:before="120"/>
        <w:contextualSpacing w:val="0"/>
        <w:jc w:val="both"/>
        <w:rPr>
          <w:b/>
        </w:rPr>
      </w:pPr>
      <w:r w:rsidRPr="006B58E2">
        <w:rPr>
          <w:b/>
        </w:rPr>
        <w:t>Alternatíva 2 – autorizácia zdokonaleným podpisom</w:t>
      </w:r>
    </w:p>
    <w:p w:rsidR="00540923" w:rsidRDefault="00540923" w:rsidP="006B58E2">
      <w:pPr>
        <w:ind w:left="708"/>
      </w:pPr>
      <w:r>
        <w:t>Súčasné znenie zákona o </w:t>
      </w:r>
      <w:proofErr w:type="spellStart"/>
      <w:r>
        <w:t>eGov</w:t>
      </w:r>
      <w:proofErr w:type="spellEnd"/>
      <w:r>
        <w:t xml:space="preserve"> explicitne nehovorí  </w:t>
      </w:r>
      <w:r w:rsidR="00955C77">
        <w:t xml:space="preserve">priamo </w:t>
      </w:r>
      <w:r>
        <w:t>o možnosti využitia zdokonaleného elektronického podpisu</w:t>
      </w:r>
      <w:r w:rsidR="00E85715">
        <w:t>,</w:t>
      </w:r>
      <w:r>
        <w:t xml:space="preserve"> definovaného v </w:t>
      </w:r>
      <w:proofErr w:type="spellStart"/>
      <w:r>
        <w:t>eIDAS</w:t>
      </w:r>
      <w:proofErr w:type="spellEnd"/>
      <w:r>
        <w:t xml:space="preserve"> v článku 26 a článku 27, ako jednej z možných alternatív k</w:t>
      </w:r>
      <w:r w:rsidR="004D4320">
        <w:t> autorizácii</w:t>
      </w:r>
      <w:r>
        <w:t xml:space="preserve"> kvalifikovan</w:t>
      </w:r>
      <w:r w:rsidR="004D4320">
        <w:t>ým</w:t>
      </w:r>
      <w:r>
        <w:t xml:space="preserve"> elektronick</w:t>
      </w:r>
      <w:r w:rsidR="004D4320">
        <w:t>ým</w:t>
      </w:r>
      <w:r>
        <w:t xml:space="preserve"> podpis</w:t>
      </w:r>
      <w:r w:rsidR="004D4320">
        <w:t>om</w:t>
      </w:r>
      <w:r>
        <w:t xml:space="preserve">. A to napriek tomu, že </w:t>
      </w:r>
      <w:proofErr w:type="spellStart"/>
      <w:r>
        <w:t>eIDAS</w:t>
      </w:r>
      <w:proofErr w:type="spellEnd"/>
      <w:r>
        <w:t xml:space="preserve"> má povahu nariadenia, a teda jeho ustanovenia sú pre Slovenskú republiku priamo záväzné. Problém je v tom, že </w:t>
      </w:r>
      <w:proofErr w:type="spellStart"/>
      <w:r>
        <w:t>eIDAS</w:t>
      </w:r>
      <w:proofErr w:type="spellEnd"/>
      <w:r>
        <w:t xml:space="preserve"> nedefinuje podmienky aplikovateľnosti zdokonaleného elektronického podpisu (pre ktoré agendy</w:t>
      </w:r>
      <w:r w:rsidR="004D4320">
        <w:t xml:space="preserve"> resp. podania </w:t>
      </w:r>
      <w:r>
        <w:t xml:space="preserve"> je vhodný, a kde je nevyhnutné použitie kvalifikovaného elektronického podpisu). Rámec použiteľnosti iného spôsobu autorizácie, ako využitím kvalifikovaného elektronického podpisu, zase definuje slovenský zákon o </w:t>
      </w:r>
      <w:proofErr w:type="spellStart"/>
      <w:r>
        <w:t>eGov</w:t>
      </w:r>
      <w:proofErr w:type="spellEnd"/>
      <w:r>
        <w:t xml:space="preserve"> v §23 v odseku 1, písmeno a, bodoch 2 a 3. </w:t>
      </w:r>
    </w:p>
    <w:p w:rsidR="00540923" w:rsidRDefault="00540923" w:rsidP="006B58E2">
      <w:pPr>
        <w:ind w:left="708"/>
      </w:pPr>
      <w:r>
        <w:t xml:space="preserve">Máme tak dve legislatívne normy, ktoré síce v súčte vytvárajú nevyhnutné predpoklady pre využitie zdokonaleného elektronického podpisu podľa </w:t>
      </w:r>
      <w:proofErr w:type="spellStart"/>
      <w:r>
        <w:t>eIDAS</w:t>
      </w:r>
      <w:proofErr w:type="spellEnd"/>
      <w:r>
        <w:t xml:space="preserve">, ale chýba im vzájomné prepojenie. </w:t>
      </w:r>
    </w:p>
    <w:p w:rsidR="00540923" w:rsidRDefault="003626E4" w:rsidP="006B58E2">
      <w:pPr>
        <w:ind w:left="708"/>
      </w:pPr>
      <w:r>
        <w:t xml:space="preserve">Pre odstránenie akýchkoľvek pochybností </w:t>
      </w:r>
      <w:r w:rsidR="00E85715">
        <w:t xml:space="preserve">o možnosti používania zdokonaleného elektronického podpisu na Slovensku </w:t>
      </w:r>
      <w:r>
        <w:t>navrhujeme UPVII túto  medzeru</w:t>
      </w:r>
      <w:r w:rsidR="00540923">
        <w:t xml:space="preserve"> preklenúť jedným z </w:t>
      </w:r>
      <w:r w:rsidR="00955C77">
        <w:t>dvoch</w:t>
      </w:r>
      <w:r w:rsidR="00540923">
        <w:t xml:space="preserve"> nižšie uvedených návrhov:</w:t>
      </w:r>
    </w:p>
    <w:p w:rsidR="00540923" w:rsidRDefault="00540923" w:rsidP="006B58E2">
      <w:pPr>
        <w:pStyle w:val="ListParagraph"/>
        <w:numPr>
          <w:ilvl w:val="0"/>
          <w:numId w:val="9"/>
        </w:numPr>
      </w:pPr>
      <w:r>
        <w:t xml:space="preserve">Spracovať </w:t>
      </w:r>
      <w:r w:rsidR="00955C77">
        <w:t>právny</w:t>
      </w:r>
      <w:r>
        <w:t xml:space="preserve"> výklad, ktorý potvrdí, že autorizácia prostredníctvom zdokonaleného elektronického  podpisu definovaného v článkoch 26 a 27 </w:t>
      </w:r>
      <w:proofErr w:type="spellStart"/>
      <w:r w:rsidR="00955C77">
        <w:t>eIDAS</w:t>
      </w:r>
      <w:proofErr w:type="spellEnd"/>
      <w:r>
        <w:t xml:space="preserve"> spĺňa požiadavky zákona o </w:t>
      </w:r>
      <w:proofErr w:type="spellStart"/>
      <w:r>
        <w:t>eGov</w:t>
      </w:r>
      <w:proofErr w:type="spellEnd"/>
      <w:r>
        <w:t xml:space="preserve"> uvedené v zákon o </w:t>
      </w:r>
      <w:proofErr w:type="spellStart"/>
      <w:r>
        <w:t>eGov</w:t>
      </w:r>
      <w:proofErr w:type="spellEnd"/>
      <w:r>
        <w:t xml:space="preserve"> v §23 v od</w:t>
      </w:r>
      <w:r w:rsidR="00955C77">
        <w:t>seku 1, písmeno a, bode</w:t>
      </w:r>
      <w:r>
        <w:t xml:space="preserve"> 2 </w:t>
      </w:r>
      <w:r w:rsidR="00731CE4">
        <w:t>, alebo</w:t>
      </w:r>
    </w:p>
    <w:p w:rsidR="00955C77" w:rsidRDefault="00955C77" w:rsidP="006B58E2">
      <w:pPr>
        <w:pStyle w:val="ListParagraph"/>
        <w:numPr>
          <w:ilvl w:val="0"/>
          <w:numId w:val="9"/>
        </w:numPr>
      </w:pPr>
      <w:r>
        <w:t>Vyda</w:t>
      </w:r>
      <w:r w:rsidR="003626E4">
        <w:t xml:space="preserve">ť  jednoduchú </w:t>
      </w:r>
      <w:r>
        <w:t xml:space="preserve"> vyhlášku pre aplikovateľnosť zdokonaleného elektronického podpisu podľa zákona o </w:t>
      </w:r>
      <w:proofErr w:type="spellStart"/>
      <w:r>
        <w:t>eGov</w:t>
      </w:r>
      <w:proofErr w:type="spellEnd"/>
      <w:r>
        <w:t xml:space="preserve"> v §23 v odseku 1, písmeno a, bod</w:t>
      </w:r>
      <w:r w:rsidR="003626E4">
        <w:t xml:space="preserve"> 3 s odvolaním sa na definíciu zdokonaleného elektronického podpisu v článkoch 26 a 27 </w:t>
      </w:r>
      <w:proofErr w:type="spellStart"/>
      <w:r w:rsidR="003626E4">
        <w:t>eIDAS</w:t>
      </w:r>
      <w:proofErr w:type="spellEnd"/>
      <w:r w:rsidR="003626E4">
        <w:t xml:space="preserve"> a v nadväzujúcich technických normách</w:t>
      </w:r>
    </w:p>
    <w:p w:rsidR="006B58E2" w:rsidRDefault="006B58E2" w:rsidP="002935D8"/>
    <w:p w:rsidR="006B58E2" w:rsidRPr="006B58E2" w:rsidRDefault="006B58E2" w:rsidP="002935D8">
      <w:pPr>
        <w:rPr>
          <w:b/>
        </w:rPr>
      </w:pPr>
      <w:r w:rsidRPr="006B58E2">
        <w:rPr>
          <w:b/>
        </w:rPr>
        <w:t>Všeobecné konštatovanie k autorizácii</w:t>
      </w:r>
    </w:p>
    <w:p w:rsidR="00540923" w:rsidRDefault="006B58E2" w:rsidP="002935D8">
      <w:r>
        <w:t xml:space="preserve">Bez ohľadu na to, ktorá z vedených alternatív bude v budúcnosti aplikovaná, </w:t>
      </w:r>
      <w:r w:rsidR="002935D8">
        <w:t xml:space="preserve">dovoľujeme </w:t>
      </w:r>
      <w:r>
        <w:t xml:space="preserve">si </w:t>
      </w:r>
      <w:r w:rsidR="002935D8">
        <w:t xml:space="preserve">upozorniť na skutočnosť, že filozofia negatívneho vymedzovania elektronických podaní, ktoré môžu byť autorizované iným spôsobom, ako kvalifikovaným elektronickým podpisom, je síce implementačne veľmi jednoduchá, </w:t>
      </w:r>
      <w:r w:rsidR="00CB43D2">
        <w:t xml:space="preserve">ale prináša so sebou nové riziká. </w:t>
      </w:r>
      <w:r w:rsidR="002935D8">
        <w:t>T</w:t>
      </w:r>
      <w:r w:rsidR="00D01437">
        <w:t>úto novú filozofiu zaviedla</w:t>
      </w:r>
      <w:r w:rsidR="002935D8">
        <w:t xml:space="preserve"> novela zákona o </w:t>
      </w:r>
      <w:proofErr w:type="spellStart"/>
      <w:r w:rsidR="002935D8">
        <w:t>eGov</w:t>
      </w:r>
      <w:proofErr w:type="spellEnd"/>
      <w:r w:rsidR="002935D8">
        <w:t xml:space="preserve"> z roku 2017 v bodoch 2 a 3. v §23, odseku 1, písmeno a.  Chápeme </w:t>
      </w:r>
      <w:r w:rsidR="002935D8">
        <w:lastRenderedPageBreak/>
        <w:t xml:space="preserve">zámer zákona, čo najrýchlejšie odbúrať legislatívne bariéry pre používanie užívateľsky jednoduchšej formy autorizácie, ako je kvalifikovaný elektronický podpis, avšak nie sme si istí, či </w:t>
      </w:r>
      <w:r w:rsidR="00D01437">
        <w:t>to neprin</w:t>
      </w:r>
      <w:r w:rsidR="000824D3">
        <w:t>i</w:t>
      </w:r>
      <w:r w:rsidR="00D01437">
        <w:t>eslo</w:t>
      </w:r>
      <w:r w:rsidR="002935D8">
        <w:t xml:space="preserve"> neprimerané zvýšenie rizika.</w:t>
      </w:r>
    </w:p>
    <w:p w:rsidR="002935D8" w:rsidRDefault="002935D8" w:rsidP="002935D8">
      <w:r>
        <w:t xml:space="preserve">Dávame preto na zváženie návrat k filozofii pozitívneho vymedzenia, ale v spojení s výrazným implementačným zjednodušením </w:t>
      </w:r>
      <w:r w:rsidR="00CB43D2">
        <w:t>jeho aplikácie pre OVM a základnou metodickou podporou pri rozhodovaní o tom, kde je pre autorizáciu nevyhnutný kvalifikovaný elektronický podpis, a kde bude postačujúca niektorá z jeho jednoduchších alternatív</w:t>
      </w:r>
      <w:r w:rsidR="000824D3">
        <w:t>.</w:t>
      </w:r>
      <w:r w:rsidR="00CB43D2">
        <w:t xml:space="preserve"> </w:t>
      </w:r>
    </w:p>
    <w:p w:rsidR="000824D3" w:rsidRPr="00DF127B" w:rsidRDefault="000824D3" w:rsidP="006B58E2">
      <w:pPr>
        <w:spacing w:before="120"/>
        <w:jc w:val="both"/>
      </w:pPr>
      <w:r w:rsidRPr="00DF127B">
        <w:t xml:space="preserve">OVM by mali </w:t>
      </w:r>
      <w:r w:rsidR="00263385">
        <w:t xml:space="preserve">na základe zrozumiteľnej metodiky </w:t>
      </w:r>
      <w:r w:rsidRPr="00DF127B">
        <w:t>kategorizovať všetky ponúkané elektronické služby občanom podľa požadovanej úrovne autorizácie vychádzajúc z analýzy povahy služieb na základe objektívnych kritérií, ako sa to uvádza aj v spomínanom dokumente o </w:t>
      </w:r>
      <w:proofErr w:type="spellStart"/>
      <w:r w:rsidRPr="00DF127B">
        <w:t>multikanálovom</w:t>
      </w:r>
      <w:proofErr w:type="spellEnd"/>
      <w:r w:rsidRPr="00DF127B">
        <w:t xml:space="preserve"> prístupe: </w:t>
      </w:r>
      <w:r w:rsidRPr="00DF127B">
        <w:rPr>
          <w:i/>
        </w:rPr>
        <w:t>„Okrem určenia technického spôsobu prevedenia iného spôsobu autorizácie v súlade s bezpečnostnými požiadavkami bude vykonaná biznis analýza koncových služieb v gescii jednotlivých orgánov verejnej moci za účelom revízie požadovaného spôsobu autorizácie s jeho potenciálnou zmenou na spôsob, ktorý zabezpečí prístup aj z mobilných zariadení.“</w:t>
      </w:r>
      <w:r w:rsidRPr="00DF127B">
        <w:t xml:space="preserve"> </w:t>
      </w:r>
    </w:p>
    <w:p w:rsidR="000824D3" w:rsidRDefault="000824D3" w:rsidP="006B58E2">
      <w:pPr>
        <w:spacing w:before="120"/>
        <w:jc w:val="both"/>
      </w:pPr>
      <w:r w:rsidRPr="00DF127B">
        <w:t xml:space="preserve">Na základe kategorizácie podľa úrovne autorizácie by OVM identifikovali množiny elektronických služieb vyžadujúcich príslušnú úroveň a akceptovaný spôsob resp. prostriedok autorizácie - napríklad najvyššiu úroveň autorizácie vyžadujúcu kvalifikovaný elektronický podpis (KEP), nižšiu úroveň autorizácie prostredníctvom </w:t>
      </w:r>
      <w:r>
        <w:t xml:space="preserve">niektorej z alternatívnych možností. </w:t>
      </w:r>
    </w:p>
    <w:p w:rsidR="000824D3" w:rsidRDefault="000824D3" w:rsidP="006B58E2">
      <w:r>
        <w:t xml:space="preserve">Sme presvedčení, že je možné pripraviť efektívne fungujúcu filozofiu pozitívneho vymedzenia tak, aby nebola brzdou v používaní jednoduchších foriem autorizácie. </w:t>
      </w:r>
    </w:p>
    <w:p w:rsidR="000824D3" w:rsidRDefault="000824D3" w:rsidP="002935D8"/>
    <w:p w:rsidR="00D63E6A" w:rsidRPr="00A03445" w:rsidRDefault="00714996" w:rsidP="00654FE2">
      <w:pPr>
        <w:pStyle w:val="Heading2"/>
        <w:numPr>
          <w:ilvl w:val="0"/>
          <w:numId w:val="1"/>
        </w:numPr>
        <w:rPr>
          <w:b/>
          <w:color w:val="auto"/>
        </w:rPr>
      </w:pPr>
      <w:r w:rsidRPr="00A03445">
        <w:rPr>
          <w:b/>
          <w:color w:val="auto"/>
        </w:rPr>
        <w:t>Záver</w:t>
      </w:r>
    </w:p>
    <w:p w:rsidR="002D44A6" w:rsidRDefault="002D44A6" w:rsidP="00F40D17">
      <w:pPr>
        <w:jc w:val="both"/>
      </w:pPr>
      <w:r>
        <w:t>Na záver by sme ešte radi upozornili, že t</w:t>
      </w:r>
      <w:r w:rsidRPr="00AE0874">
        <w:t>akýto projekt bez zváženia súvislostí a dopadov sa môže z plánovaného „</w:t>
      </w:r>
      <w:proofErr w:type="spellStart"/>
      <w:r w:rsidRPr="00AE0874">
        <w:t>quick-win</w:t>
      </w:r>
      <w:proofErr w:type="spellEnd"/>
      <w:r w:rsidRPr="00AE0874">
        <w:t xml:space="preserve">“ preklopiť do plošne kritizovaného projektu s malou pridanou hodnotou, ktorý </w:t>
      </w:r>
      <w:r>
        <w:t>môže byť</w:t>
      </w:r>
      <w:r w:rsidRPr="00AE0874">
        <w:t xml:space="preserve"> považovaný za zbytočne minuté peniaze bez očakávaných prínosov.</w:t>
      </w:r>
    </w:p>
    <w:p w:rsidR="002D44A6" w:rsidRDefault="002D44A6" w:rsidP="00F40D17">
      <w:pPr>
        <w:jc w:val="both"/>
      </w:pPr>
      <w:r>
        <w:t>Na druhej strane s</w:t>
      </w:r>
      <w:r w:rsidR="00F40D17">
        <w:t>me presvedčen</w:t>
      </w:r>
      <w:r w:rsidR="002E53BF">
        <w:t>í</w:t>
      </w:r>
      <w:r w:rsidR="00F40D17">
        <w:t xml:space="preserve">, že zohľadnenie vyššie uvedených postrehov </w:t>
      </w:r>
      <w:r w:rsidR="002E53BF">
        <w:t>zvýši celkovú</w:t>
      </w:r>
      <w:r w:rsidR="00F40D17">
        <w:t xml:space="preserve"> kvalitu a komfort prístupu ku elektronickým službám a výraznou mierou</w:t>
      </w:r>
      <w:r w:rsidR="002E53BF">
        <w:t xml:space="preserve"> prispeje ku naplneniu</w:t>
      </w:r>
      <w:r w:rsidR="00F40D17">
        <w:t xml:space="preserve"> sledovan</w:t>
      </w:r>
      <w:r w:rsidR="002E53BF">
        <w:t>ých cieľov</w:t>
      </w:r>
      <w:r w:rsidR="00F40D17">
        <w:t xml:space="preserve"> a</w:t>
      </w:r>
      <w:r>
        <w:t> </w:t>
      </w:r>
      <w:r w:rsidR="002E53BF">
        <w:t>očakávaní</w:t>
      </w:r>
      <w:r>
        <w:t xml:space="preserve"> plánovaného „</w:t>
      </w:r>
      <w:proofErr w:type="spellStart"/>
      <w:r>
        <w:t>quick-winu</w:t>
      </w:r>
      <w:proofErr w:type="spellEnd"/>
      <w:r>
        <w:t>“</w:t>
      </w:r>
      <w:r w:rsidR="00F40D17">
        <w:t xml:space="preserve">. </w:t>
      </w:r>
      <w:r w:rsidR="002E53BF">
        <w:t>Radi budeme pokračovať v konštruktívnej spolupráci</w:t>
      </w:r>
      <w:r w:rsidR="00F40D17">
        <w:t xml:space="preserve"> pr</w:t>
      </w:r>
      <w:r w:rsidR="002E53BF">
        <w:t>i</w:t>
      </w:r>
      <w:r w:rsidR="00F40D17">
        <w:t xml:space="preserve"> príprav</w:t>
      </w:r>
      <w:r w:rsidR="002E53BF">
        <w:t>e</w:t>
      </w:r>
      <w:r w:rsidR="00F40D17">
        <w:t xml:space="preserve"> kvalitného </w:t>
      </w:r>
      <w:r w:rsidR="002E53BF">
        <w:t>návrhu, ktorý</w:t>
      </w:r>
      <w:r w:rsidR="00F40D17">
        <w:t xml:space="preserve"> bude</w:t>
      </w:r>
      <w:r w:rsidR="002E53BF">
        <w:t xml:space="preserve"> </w:t>
      </w:r>
      <w:r w:rsidR="00583F3B">
        <w:t>v prospech celej spoločnosti</w:t>
      </w:r>
      <w:r w:rsidR="002E53BF">
        <w:t>.</w:t>
      </w:r>
    </w:p>
    <w:p w:rsidR="00F40D17" w:rsidRDefault="002D44A6" w:rsidP="00AA59CE">
      <w:r>
        <w:t>Do budúcna sme pripravení ponúknuť odborné kapacity členov ITAS do pracovných skupín na rozpracovanie alternatív pre oblasť a</w:t>
      </w:r>
      <w:r w:rsidR="004A0C0F">
        <w:t>utentifikácie alebo autorizácie</w:t>
      </w:r>
      <w:r w:rsidR="00A03445">
        <w:t>.</w:t>
      </w:r>
    </w:p>
    <w:p w:rsidR="005E07FC" w:rsidRDefault="005E07FC" w:rsidP="00AA59CE"/>
    <w:p w:rsidR="005E07FC" w:rsidRDefault="005E07FC" w:rsidP="00AA59CE">
      <w:r>
        <w:rPr>
          <w:noProof/>
        </w:rPr>
        <w:drawing>
          <wp:inline distT="0" distB="0" distL="0" distR="0">
            <wp:extent cx="5334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15">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inline>
        </w:drawing>
      </w:r>
    </w:p>
    <w:p w:rsidR="005E07FC" w:rsidRDefault="005E07FC" w:rsidP="00AA59CE">
      <w:r>
        <w:t>Emil Fitoš</w:t>
      </w:r>
      <w:r>
        <w:tab/>
      </w:r>
      <w:r>
        <w:tab/>
      </w:r>
      <w:r>
        <w:tab/>
      </w:r>
      <w:r>
        <w:tab/>
      </w:r>
      <w:r>
        <w:tab/>
      </w:r>
      <w:r>
        <w:tab/>
      </w:r>
      <w:r>
        <w:tab/>
      </w:r>
      <w:r>
        <w:tab/>
      </w:r>
      <w:r>
        <w:tab/>
      </w:r>
      <w:r>
        <w:tab/>
      </w:r>
      <w:bookmarkStart w:id="0" w:name="_GoBack"/>
      <w:bookmarkEnd w:id="0"/>
      <w:r>
        <w:t>24. august 2018</w:t>
      </w:r>
    </w:p>
    <w:p w:rsidR="005E07FC" w:rsidRPr="00F40D17" w:rsidRDefault="005E07FC" w:rsidP="00AA59CE">
      <w:r>
        <w:t>Prezident ITAS</w:t>
      </w:r>
    </w:p>
    <w:sectPr w:rsidR="005E07FC" w:rsidRPr="00F40D17" w:rsidSect="00B526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E2C"/>
    <w:multiLevelType w:val="hybridMultilevel"/>
    <w:tmpl w:val="55EC996C"/>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 w15:restartNumberingAfterBreak="0">
    <w:nsid w:val="1EA7303D"/>
    <w:multiLevelType w:val="hybridMultilevel"/>
    <w:tmpl w:val="E9AC1DB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42381F1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314596"/>
    <w:multiLevelType w:val="hybridMultilevel"/>
    <w:tmpl w:val="8B3C0F08"/>
    <w:lvl w:ilvl="0" w:tplc="3C7AA06E">
      <w:start w:val="2"/>
      <w:numFmt w:val="bullet"/>
      <w:lvlText w:val="-"/>
      <w:lvlJc w:val="left"/>
      <w:pPr>
        <w:ind w:left="1152" w:hanging="360"/>
      </w:pPr>
      <w:rPr>
        <w:rFonts w:ascii="Calibri" w:eastAsiaTheme="minorHAnsi" w:hAnsi="Calibri" w:cs="Calibr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4" w15:restartNumberingAfterBreak="0">
    <w:nsid w:val="4C441A4E"/>
    <w:multiLevelType w:val="hybridMultilevel"/>
    <w:tmpl w:val="9F68016C"/>
    <w:lvl w:ilvl="0" w:tplc="56CE9F44">
      <w:start w:val="2"/>
      <w:numFmt w:val="bullet"/>
      <w:lvlText w:val="-"/>
      <w:lvlJc w:val="left"/>
      <w:pPr>
        <w:ind w:left="1152" w:hanging="360"/>
      </w:pPr>
      <w:rPr>
        <w:rFonts w:ascii="Calibri" w:eastAsiaTheme="minorHAnsi" w:hAnsi="Calibri" w:cs="Calibr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5" w15:restartNumberingAfterBreak="0">
    <w:nsid w:val="4C814338"/>
    <w:multiLevelType w:val="hybridMultilevel"/>
    <w:tmpl w:val="4E7A2142"/>
    <w:lvl w:ilvl="0" w:tplc="3C7AA06E">
      <w:start w:val="2"/>
      <w:numFmt w:val="bullet"/>
      <w:lvlText w:val="-"/>
      <w:lvlJc w:val="left"/>
      <w:pPr>
        <w:ind w:left="1152" w:hanging="360"/>
      </w:pPr>
      <w:rPr>
        <w:rFonts w:ascii="Calibri" w:eastAsiaTheme="minorHAnsi" w:hAnsi="Calibri" w:cs="Calibr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6" w15:restartNumberingAfterBreak="0">
    <w:nsid w:val="59EB4938"/>
    <w:multiLevelType w:val="hybridMultilevel"/>
    <w:tmpl w:val="43B28E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16C102F"/>
    <w:multiLevelType w:val="multilevel"/>
    <w:tmpl w:val="041B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68385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6"/>
  </w:num>
  <w:num w:numId="4">
    <w:abstractNumId w:val="7"/>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26"/>
    <w:rsid w:val="00002462"/>
    <w:rsid w:val="00015D64"/>
    <w:rsid w:val="00023AAF"/>
    <w:rsid w:val="000824D3"/>
    <w:rsid w:val="000A49DD"/>
    <w:rsid w:val="000B6394"/>
    <w:rsid w:val="001008B7"/>
    <w:rsid w:val="00100BCE"/>
    <w:rsid w:val="00107E63"/>
    <w:rsid w:val="00137AD1"/>
    <w:rsid w:val="00152543"/>
    <w:rsid w:val="00157FC4"/>
    <w:rsid w:val="00196F8F"/>
    <w:rsid w:val="001B4555"/>
    <w:rsid w:val="00202B14"/>
    <w:rsid w:val="0020332F"/>
    <w:rsid w:val="00225713"/>
    <w:rsid w:val="00242D29"/>
    <w:rsid w:val="00263385"/>
    <w:rsid w:val="00287F44"/>
    <w:rsid w:val="002935D8"/>
    <w:rsid w:val="002D44A6"/>
    <w:rsid w:val="002E2617"/>
    <w:rsid w:val="002E53BF"/>
    <w:rsid w:val="003219ED"/>
    <w:rsid w:val="00356B92"/>
    <w:rsid w:val="003626E4"/>
    <w:rsid w:val="003831AD"/>
    <w:rsid w:val="003F6608"/>
    <w:rsid w:val="004172F1"/>
    <w:rsid w:val="00441F90"/>
    <w:rsid w:val="00470CD3"/>
    <w:rsid w:val="0047764C"/>
    <w:rsid w:val="00483F05"/>
    <w:rsid w:val="004A0052"/>
    <w:rsid w:val="004A0C0F"/>
    <w:rsid w:val="004B5933"/>
    <w:rsid w:val="004B791C"/>
    <w:rsid w:val="004C6F51"/>
    <w:rsid w:val="004D4320"/>
    <w:rsid w:val="004D793B"/>
    <w:rsid w:val="004E11CF"/>
    <w:rsid w:val="004E4FAB"/>
    <w:rsid w:val="004F31AC"/>
    <w:rsid w:val="005057BC"/>
    <w:rsid w:val="00510AF2"/>
    <w:rsid w:val="00520709"/>
    <w:rsid w:val="005230F7"/>
    <w:rsid w:val="00540923"/>
    <w:rsid w:val="005741CC"/>
    <w:rsid w:val="00583F3B"/>
    <w:rsid w:val="005D4BB4"/>
    <w:rsid w:val="005D7DA0"/>
    <w:rsid w:val="005E07FC"/>
    <w:rsid w:val="005E2551"/>
    <w:rsid w:val="005E2BDF"/>
    <w:rsid w:val="006120BF"/>
    <w:rsid w:val="00627B56"/>
    <w:rsid w:val="00653D59"/>
    <w:rsid w:val="00654FE2"/>
    <w:rsid w:val="0068790B"/>
    <w:rsid w:val="006B58E2"/>
    <w:rsid w:val="006D6E9C"/>
    <w:rsid w:val="006E27E6"/>
    <w:rsid w:val="00702E30"/>
    <w:rsid w:val="00714996"/>
    <w:rsid w:val="00720CD8"/>
    <w:rsid w:val="00722896"/>
    <w:rsid w:val="00731CE4"/>
    <w:rsid w:val="007621C7"/>
    <w:rsid w:val="00796A46"/>
    <w:rsid w:val="007E21FA"/>
    <w:rsid w:val="008117DB"/>
    <w:rsid w:val="00813ADC"/>
    <w:rsid w:val="008207F5"/>
    <w:rsid w:val="008320FC"/>
    <w:rsid w:val="00864A20"/>
    <w:rsid w:val="008A0D18"/>
    <w:rsid w:val="008C723C"/>
    <w:rsid w:val="008F12D1"/>
    <w:rsid w:val="00905F26"/>
    <w:rsid w:val="00952A9D"/>
    <w:rsid w:val="00955C77"/>
    <w:rsid w:val="00971642"/>
    <w:rsid w:val="00975981"/>
    <w:rsid w:val="009A3E12"/>
    <w:rsid w:val="009B5EDF"/>
    <w:rsid w:val="009C183D"/>
    <w:rsid w:val="009D418F"/>
    <w:rsid w:val="00A03445"/>
    <w:rsid w:val="00A062D3"/>
    <w:rsid w:val="00A109A4"/>
    <w:rsid w:val="00A12CE5"/>
    <w:rsid w:val="00A201A5"/>
    <w:rsid w:val="00A36B11"/>
    <w:rsid w:val="00A5310E"/>
    <w:rsid w:val="00AA564C"/>
    <w:rsid w:val="00AA59CE"/>
    <w:rsid w:val="00AC1D9A"/>
    <w:rsid w:val="00AE0874"/>
    <w:rsid w:val="00AF24D5"/>
    <w:rsid w:val="00B03589"/>
    <w:rsid w:val="00B071EE"/>
    <w:rsid w:val="00B35922"/>
    <w:rsid w:val="00B526D5"/>
    <w:rsid w:val="00B6205D"/>
    <w:rsid w:val="00B9068C"/>
    <w:rsid w:val="00BB622E"/>
    <w:rsid w:val="00BC32E1"/>
    <w:rsid w:val="00BF4825"/>
    <w:rsid w:val="00C2361F"/>
    <w:rsid w:val="00C347D3"/>
    <w:rsid w:val="00C5120B"/>
    <w:rsid w:val="00C8688D"/>
    <w:rsid w:val="00CB43D2"/>
    <w:rsid w:val="00CC4CE1"/>
    <w:rsid w:val="00CC6CCC"/>
    <w:rsid w:val="00CE5278"/>
    <w:rsid w:val="00D01437"/>
    <w:rsid w:val="00D1410E"/>
    <w:rsid w:val="00D22084"/>
    <w:rsid w:val="00D51548"/>
    <w:rsid w:val="00D5437D"/>
    <w:rsid w:val="00D63E6A"/>
    <w:rsid w:val="00D77B5D"/>
    <w:rsid w:val="00D77E39"/>
    <w:rsid w:val="00DC24F7"/>
    <w:rsid w:val="00DE1A90"/>
    <w:rsid w:val="00E03F26"/>
    <w:rsid w:val="00E07E4C"/>
    <w:rsid w:val="00E1620F"/>
    <w:rsid w:val="00E4011D"/>
    <w:rsid w:val="00E66C29"/>
    <w:rsid w:val="00E726B4"/>
    <w:rsid w:val="00E85715"/>
    <w:rsid w:val="00E94E4D"/>
    <w:rsid w:val="00EA256F"/>
    <w:rsid w:val="00F2733C"/>
    <w:rsid w:val="00F40D17"/>
    <w:rsid w:val="00F94C03"/>
    <w:rsid w:val="00FB065F"/>
    <w:rsid w:val="00FB16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2C73"/>
  <w15:chartTrackingRefBased/>
  <w15:docId w15:val="{A30F7144-6BF0-4869-B52B-20A29138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2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1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2E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E11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11C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E11C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726B4"/>
    <w:pPr>
      <w:ind w:left="720"/>
      <w:contextualSpacing/>
    </w:pPr>
  </w:style>
  <w:style w:type="character" w:styleId="Hyperlink">
    <w:name w:val="Hyperlink"/>
    <w:basedOn w:val="DefaultParagraphFont"/>
    <w:uiPriority w:val="99"/>
    <w:unhideWhenUsed/>
    <w:rsid w:val="00BB622E"/>
    <w:rPr>
      <w:color w:val="0563C1" w:themeColor="hyperlink"/>
      <w:u w:val="single"/>
    </w:rPr>
  </w:style>
  <w:style w:type="character" w:styleId="FollowedHyperlink">
    <w:name w:val="FollowedHyperlink"/>
    <w:basedOn w:val="DefaultParagraphFont"/>
    <w:uiPriority w:val="99"/>
    <w:semiHidden/>
    <w:unhideWhenUsed/>
    <w:rsid w:val="00242D29"/>
    <w:rPr>
      <w:color w:val="954F72" w:themeColor="followedHyperlink"/>
      <w:u w:val="single"/>
    </w:rPr>
  </w:style>
  <w:style w:type="paragraph" w:styleId="NormalWeb">
    <w:name w:val="Normal (Web)"/>
    <w:basedOn w:val="Normal"/>
    <w:uiPriority w:val="99"/>
    <w:semiHidden/>
    <w:unhideWhenUsed/>
    <w:rsid w:val="005207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3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AF"/>
    <w:rPr>
      <w:rFonts w:ascii="Segoe UI" w:hAnsi="Segoe UI" w:cs="Segoe UI"/>
      <w:sz w:val="18"/>
      <w:szCs w:val="18"/>
    </w:rPr>
  </w:style>
  <w:style w:type="paragraph" w:styleId="CommentText">
    <w:name w:val="annotation text"/>
    <w:basedOn w:val="Normal"/>
    <w:link w:val="CommentTextChar"/>
    <w:uiPriority w:val="99"/>
    <w:semiHidden/>
    <w:unhideWhenUsed/>
    <w:rsid w:val="002D44A6"/>
    <w:pPr>
      <w:spacing w:line="240" w:lineRule="auto"/>
    </w:pPr>
    <w:rPr>
      <w:sz w:val="20"/>
      <w:szCs w:val="20"/>
    </w:rPr>
  </w:style>
  <w:style w:type="character" w:customStyle="1" w:styleId="CommentTextChar">
    <w:name w:val="Comment Text Char"/>
    <w:basedOn w:val="DefaultParagraphFont"/>
    <w:link w:val="CommentText"/>
    <w:uiPriority w:val="99"/>
    <w:semiHidden/>
    <w:rsid w:val="002D44A6"/>
    <w:rPr>
      <w:sz w:val="20"/>
      <w:szCs w:val="20"/>
    </w:rPr>
  </w:style>
  <w:style w:type="character" w:styleId="CommentReference">
    <w:name w:val="annotation reference"/>
    <w:basedOn w:val="DefaultParagraphFont"/>
    <w:uiPriority w:val="99"/>
    <w:semiHidden/>
    <w:unhideWhenUsed/>
    <w:rsid w:val="00714996"/>
    <w:rPr>
      <w:sz w:val="16"/>
      <w:szCs w:val="16"/>
    </w:rPr>
  </w:style>
  <w:style w:type="paragraph" w:styleId="CommentSubject">
    <w:name w:val="annotation subject"/>
    <w:basedOn w:val="CommentText"/>
    <w:next w:val="CommentText"/>
    <w:link w:val="CommentSubjectChar"/>
    <w:uiPriority w:val="99"/>
    <w:semiHidden/>
    <w:unhideWhenUsed/>
    <w:rsid w:val="00196F8F"/>
    <w:rPr>
      <w:b/>
      <w:bCs/>
    </w:rPr>
  </w:style>
  <w:style w:type="character" w:customStyle="1" w:styleId="CommentSubjectChar">
    <w:name w:val="Comment Subject Char"/>
    <w:basedOn w:val="CommentTextChar"/>
    <w:link w:val="CommentSubject"/>
    <w:uiPriority w:val="99"/>
    <w:semiHidden/>
    <w:rsid w:val="00196F8F"/>
    <w:rPr>
      <w:b/>
      <w:bCs/>
      <w:sz w:val="20"/>
      <w:szCs w:val="20"/>
    </w:rPr>
  </w:style>
  <w:style w:type="paragraph" w:styleId="Revision">
    <w:name w:val="Revision"/>
    <w:hidden/>
    <w:uiPriority w:val="99"/>
    <w:semiHidden/>
    <w:rsid w:val="006120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551357">
      <w:bodyDiv w:val="1"/>
      <w:marLeft w:val="0"/>
      <w:marRight w:val="0"/>
      <w:marTop w:val="0"/>
      <w:marBottom w:val="0"/>
      <w:divBdr>
        <w:top w:val="none" w:sz="0" w:space="0" w:color="auto"/>
        <w:left w:val="none" w:sz="0" w:space="0" w:color="auto"/>
        <w:bottom w:val="none" w:sz="0" w:space="0" w:color="auto"/>
        <w:right w:val="none" w:sz="0" w:space="0" w:color="auto"/>
      </w:divBdr>
    </w:div>
    <w:div w:id="1733431178">
      <w:bodyDiv w:val="1"/>
      <w:marLeft w:val="0"/>
      <w:marRight w:val="0"/>
      <w:marTop w:val="0"/>
      <w:marBottom w:val="0"/>
      <w:divBdr>
        <w:top w:val="none" w:sz="0" w:space="0" w:color="auto"/>
        <w:left w:val="none" w:sz="0" w:space="0" w:color="auto"/>
        <w:bottom w:val="none" w:sz="0" w:space="0" w:color="auto"/>
        <w:right w:val="none" w:sz="0" w:space="0" w:color="auto"/>
      </w:divBdr>
    </w:div>
    <w:div w:id="20511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ext_dok-uppvii_sp_multikanalovy_pristup_vfinal/24195c" TargetMode="External"/><Relationship Id="rId13" Type="http://schemas.openxmlformats.org/officeDocument/2006/relationships/hyperlink" Target="https://eur-lex.europa.eu/legal-content/SK/TXT/?uri=uriserv:OJ.L_.2018.069.01.0023.01.SLK&amp;toc=OJ:L:2018:069:TOC" TargetMode="External"/><Relationship Id="rId3" Type="http://schemas.openxmlformats.org/officeDocument/2006/relationships/settings" Target="settings.xml"/><Relationship Id="rId7" Type="http://schemas.openxmlformats.org/officeDocument/2006/relationships/hyperlink" Target="https://www.enisa.europa.eu/publications/eid-cards-en/at_download/fullReport" TargetMode="External"/><Relationship Id="rId12" Type="http://schemas.openxmlformats.org/officeDocument/2006/relationships/hyperlink" Target="https://www.slov-lex.sk/pravne-predpisy/SK/ZZ/2009/492/201801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europa.eu/digital-single-market/en/news/questions-answers-trust-services-under-eidas" TargetMode="External"/><Relationship Id="rId11" Type="http://schemas.openxmlformats.org/officeDocument/2006/relationships/hyperlink" Target="https://www.slov-lex.sk/pravne-predpisy/SK/ZZ/2008/297/20180315" TargetMode="External"/><Relationship Id="rId5" Type="http://schemas.openxmlformats.org/officeDocument/2006/relationships/hyperlink" Target="https://www.slov-lex.sk/pravne-predpisy/SK/ZZ/2013/305/20180401" TargetMode="External"/><Relationship Id="rId15" Type="http://schemas.openxmlformats.org/officeDocument/2006/relationships/image" Target="media/image1.jpg"/><Relationship Id="rId10" Type="http://schemas.openxmlformats.org/officeDocument/2006/relationships/hyperlink" Target="https://joinup.ec.europa.eu/sites/default/files/document/2014-12/STORK%20Deliverable%20D2.3%20-%20Quality%20authenticator%20scheme.pdf" TargetMode="External"/><Relationship Id="rId4" Type="http://schemas.openxmlformats.org/officeDocument/2006/relationships/webSettings" Target="webSettings.xml"/><Relationship Id="rId9" Type="http://schemas.openxmlformats.org/officeDocument/2006/relationships/hyperlink" Target="https://eur-lex.europa.eu/legal-content/SK/TXT/?uri=CELEX:32015R1502" TargetMode="External"/><Relationship Id="rId14" Type="http://schemas.openxmlformats.org/officeDocument/2006/relationships/hyperlink" Target="https://www.slov-lex.sk/pravne-predpisy/SK/ZZ/2013/305/2018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Handzus, Peter</dc:creator>
  <cp:keywords/>
  <dc:description/>
  <cp:lastModifiedBy>Emil Fitoš</cp:lastModifiedBy>
  <cp:revision>2</cp:revision>
  <dcterms:created xsi:type="dcterms:W3CDTF">2018-08-26T16:37:00Z</dcterms:created>
  <dcterms:modified xsi:type="dcterms:W3CDTF">2018-08-26T16:37:00Z</dcterms:modified>
</cp:coreProperties>
</file>