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2">
      <w:pPr>
        <w:spacing w:line="276" w:lineRule="auto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Checklist k administratívno-procesnému zabezpečeniu krokov OVM v rámci PTK</w:t>
      </w:r>
    </w:p>
    <w:p w:rsidR="00000000" w:rsidDel="00000000" w:rsidP="00000000" w:rsidRDefault="00000000" w:rsidRPr="00000000" w14:paraId="00000003">
      <w:pPr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Cieľom checklistu je poskytnúť OVM / vyhlasovateľovi PTK minimálnu sadu úkonov, ktoré by mali byť dodržané pri realizácii PTK, najmä pri realizácii PTK v rámci fázy prípravy štúdií uskutočniteľností v zmysle.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Checklist vychádza z dobrej praxe a z nedostatkov, možných zlepšení doteraz realizovaných PTK. Checklist je orientovaný na administratívno-procesnú stránku realizácie PTK v rámci jednotlivých fáz realizácie PTK, čiže ho je možné použiť v ľubovoľnej fáze realizácie PTK.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Obsahovú stránku PTK tento checklist nerieši, nakoľko tá je špecifická a bola usmernená napr. Útvarom hodnoty za peniaze.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OVM / vyhlasovateľ PTK si môže checklist upraviť podľa svojich potrieb, to znamená rozšíriť o ďalšie úkony. V prípade, že niektorý úkon OVM / vyhlasovateľ nerealizuje, považuje za irelevantný k jeho situácii, takýto stav zachytí v rámci checklistu odpoveďou “Nie” a vyplnením textu v časti “Poznámka”.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Vyhlásenie PTK a informovanie trhu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170"/>
        <w:gridCol w:w="4185"/>
        <w:tblGridChange w:id="0">
          <w:tblGrid>
            <w:gridCol w:w="3660"/>
            <w:gridCol w:w="1170"/>
            <w:gridCol w:w="4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Úkon / Aktivita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Áno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Poznámka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Vyhlásenie PTK prostredníctvom predbežného oznámenia vo vestníku 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napr. môže sa uviesť URL linka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Publikovanie informácie o vyhlásení PTK na webovom sídle OVM / vyhlasovateľa PTK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napr. môže sa uviesť URL linka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Informovanie odborných združení (ITAS, Slovensko.Digital, PPP, SISP, …) o vyhlásení PTK v ten istý deň ako bolo realizované vyhlásenie PTK zo strany OVM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napr. môže sa uviesť dátum odoslania emailu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Publikovanie informácie o realizácii workshopu v rámci PTK minimálne 5 dní pred termínom workshopu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jc w:val="left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napr. môže sa uviesť dátum publikovania informácie a dátum realizácie workshopu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Publikovanie časového harmonogramu kľúčových krokov, aktivít, miľníkov v rámci PTK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Publikovanie relevantných kontaktov, kontaktnej email adresy na strane OVM / vyhlasovateľa PTK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Publikovanie podkladov, dokumentov s vyhlásením PTK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170"/>
        <w:gridCol w:w="4185"/>
        <w:tblGridChange w:id="0">
          <w:tblGrid>
            <w:gridCol w:w="3660"/>
            <w:gridCol w:w="1170"/>
            <w:gridCol w:w="4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Úkon / Aktivita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Áno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Poznámka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Publikovanie podkladov spolu s vyhlásením PTK (napr. harmonogram PTK, štúdia uskutočniteľnosti, výstupy EVS projektu, používateľský výskum, technická a projektová dokumentácia k existujúcemu IT riešeniu, vzor odpovede účastníka PTK, …)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Zadefinovanie a publikovanie zoznamu tém, otázok na účastníka spolu s vyhlásením PTK alebo najneskôr s publikovaním informácie o realizácii workshopu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Publikovanie vzoru odpovede účastníka v rámci PTK alebo publikovanie jasných inštrukcií aká odpoveď sa od účastníka v rámci PTK očakáva (napr. vybrané časti štúdie uskutočniteľnosti, návrh aplikačnej architektúry, návrh použiteľných technológií, rozdelenie na viacero častí, TCO na IT riešenie, cena prevádzky a podpory IT riešenia, …)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Priebeh PTK, Workshopu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170"/>
        <w:gridCol w:w="4185"/>
        <w:tblGridChange w:id="0">
          <w:tblGrid>
            <w:gridCol w:w="3660"/>
            <w:gridCol w:w="1170"/>
            <w:gridCol w:w="4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Úkon / Aktivita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Áno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Poznámka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Príprava prezenčnej listiny v prípade workshopu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Príprava súhlasu so spracovaním osobných údajov a vyhotovením audio záznamu v prípade workshopu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Podpis prezenčnej listiny a súhlasu so spracovaním osobných údajov a vyhotovením audio záznamu v prípade workshopu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Vyhotovenie audio záznamu priebehu PTK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Prezentácia scenára, priebehu workshopu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Prezentácia doteraz vykonaných procesných aktivít v rámci PTK + odkazy na zverejnené výstupy týchto aktivít (napr. informácia o termíne vyhlásenia PTK, publikovaných podkladoch, doteraz prijatých otázok a odpovedí, doteraz realizovaných workshopoch,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Prezentácia doteraz vykonaných odborných, doménových aktivít súvisiacich s plánovaným IT riešením (napr. prezentácia aktuálnej verzie štúdie uskutočniteľnosti, doteraz realizované analýzy, štúdie týkajúce sa plánovaného IT riešenia,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Prezentácia do budúcna plánovaných odborných, doménových aktivít súvisiacich s plánovaným IT riešením (napr. plánované analýzy, štúdie, plán ďalších úprav, modifikácií a rozvoja IT riešenia, …)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Prezentácia zoznamu jasných otázok, tém OVM / vyhlasovateľa PTK, ktoré si chce, by si mal v rámci PTK overiť (napr. v zmysle usmernenia ÚHP k PTK)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Poskytnutie priestoru na otázky účastníkov workshopu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Poskytnutie minimálne 5 pracovných dní na vypracovanie odpovede, reakcie účastníka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Rekapitulácia nasledujúcich krokov, termínov a očakávaní OVM / vyhlasovateľa PTK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Zdokumentovanie priebehu PTK a zverejnenie záznamu z PTK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1170"/>
        <w:gridCol w:w="4185"/>
        <w:tblGridChange w:id="0">
          <w:tblGrid>
            <w:gridCol w:w="3660"/>
            <w:gridCol w:w="1170"/>
            <w:gridCol w:w="4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Úkon / Aktivita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Áno / 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Poznámka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Zverejnenie všetkej dokumentácie na jednom mieste (napr. vestník VO, profil verejného obstarávateľa, webové sídlo OVM / vyhlasovateľa PTK, …) a oznámenie tohto zverejnenia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Priebežné zverejnenie došlých otázok účastníkov v rámci celého priebehu PTK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Priebežné zverejnenie odpovedí OVM / vyhlasovateľa PTK na došlé otázky účastníkov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Zverejnenie prepisu priebehu workshopu a záverov z workshopu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Pripomienkovanie prepisu priebehu worskhopu a záverov z workshopu účastníkmi PTK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Zverejnenie odpovedí účastníkov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Identifikácia záverov z odpovedí účastníkov, na základe ktorých sa mení scope, obsah štúdie uskutočniteľnosti a plánovaného IT riešenia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Vypracoval/i:</w:t>
      </w:r>
    </w:p>
    <w:p w:rsidR="00000000" w:rsidDel="00000000" w:rsidP="00000000" w:rsidRDefault="00000000" w:rsidRPr="00000000" w14:paraId="0000007A">
      <w:pPr>
        <w:rPr/>
      </w:pPr>
      <w:bookmarkStart w:colFirst="0" w:colLast="0" w:name="_xyscm38mrk5r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540" w:top="454" w:left="1418" w:right="110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left"/>
      <w:rPr/>
    </w:pPr>
    <w:r w:rsidDel="00000000" w:rsidR="00000000" w:rsidRPr="00000000">
      <w:rPr>
        <w:rtl w:val="0"/>
      </w:rPr>
    </w:r>
  </w:p>
  <w:tbl>
    <w:tblPr>
      <w:tblStyle w:val="Table5"/>
      <w:tblW w:w="8152.0" w:type="dxa"/>
      <w:jc w:val="left"/>
      <w:tblInd w:w="-5.0" w:type="dxa"/>
      <w:tblLayout w:type="fixed"/>
      <w:tblLook w:val="0400"/>
    </w:tblPr>
    <w:tblGrid>
      <w:gridCol w:w="3383"/>
      <w:gridCol w:w="2537"/>
      <w:gridCol w:w="2232"/>
      <w:tblGridChange w:id="0">
        <w:tblGrid>
          <w:gridCol w:w="3383"/>
          <w:gridCol w:w="2537"/>
          <w:gridCol w:w="2232"/>
        </w:tblGrid>
      </w:tblGridChange>
    </w:tblGrid>
    <w:tr>
      <w:trPr>
        <w:trHeight w:val="460" w:hRule="atLeast"/>
      </w:trPr>
      <w:tc>
        <w:tcPr>
          <w:tcBorders>
            <w:top w:color="000000" w:space="0" w:sz="8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  <w:tcMar>
            <w:top w:w="85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07F">
          <w:pPr>
            <w:spacing w:after="708" w:lineRule="auto"/>
            <w:jc w:val="left"/>
            <w:rPr/>
          </w:pPr>
          <w:r w:rsidDel="00000000" w:rsidR="00000000" w:rsidRPr="00000000">
            <w:rPr>
              <w:rFonts w:ascii="Cambria" w:cs="Cambria" w:eastAsia="Cambria" w:hAnsi="Cambria"/>
              <w:color w:val="000000"/>
            </w:rPr>
            <w:drawing>
              <wp:inline distB="0" distT="0" distL="0" distR="0">
                <wp:extent cx="1924050" cy="438150"/>
                <wp:effectExtent b="0" l="0" r="0" t="0"/>
                <wp:docPr descr="Macintosh HD:Users:jakubptacin:Dropbox (Personal):slovakia.digital:logo_big.png" id="2" name="image2.png"/>
                <a:graphic>
                  <a:graphicData uri="http://schemas.openxmlformats.org/drawingml/2006/picture">
                    <pic:pic>
                      <pic:nvPicPr>
                        <pic:cNvPr descr="Macintosh HD:Users:jakubptacin:Dropbox (Personal):slovakia.digital:logo_big.png"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05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  <w:tcMar>
            <w:top w:w="85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080">
          <w:pPr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jc w:val="left"/>
            <w:rPr/>
          </w:pPr>
          <w:r w:rsidDel="00000000" w:rsidR="00000000" w:rsidRPr="00000000">
            <w:rPr>
              <w:rFonts w:ascii="Helvetica Neue" w:cs="Helvetica Neue" w:eastAsia="Helvetica Neue" w:hAnsi="Helvetica Neue"/>
              <w:color w:val="373e4d"/>
              <w:sz w:val="16"/>
              <w:szCs w:val="16"/>
              <w:shd w:fill="fefefe" w:val="clear"/>
              <w:rtl w:val="0"/>
            </w:rPr>
            <w:t xml:space="preserve">kontakt@slovensko.digital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jc w:val="left"/>
            <w:rPr/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facebook.com/slovensko.digital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jc w:val="left"/>
            <w:rPr/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0910 160 880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4">
          <w:pPr>
            <w:jc w:val="left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8" w:val="single"/>
            <w:left w:color="ffffff" w:space="0" w:sz="4" w:val="single"/>
            <w:bottom w:color="ffffff" w:space="0" w:sz="4" w:val="single"/>
            <w:right w:color="ffffff" w:space="0" w:sz="4" w:val="single"/>
          </w:tcBorders>
          <w:tcMar>
            <w:top w:w="85.0" w:type="dxa"/>
            <w:left w:w="115.0" w:type="dxa"/>
            <w:bottom w:w="0.0" w:type="dxa"/>
            <w:right w:w="115.0" w:type="dxa"/>
          </w:tcMar>
        </w:tcPr>
        <w:p w:rsidR="00000000" w:rsidDel="00000000" w:rsidP="00000000" w:rsidRDefault="00000000" w:rsidRPr="00000000" w14:paraId="00000085">
          <w:pPr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jc w:val="left"/>
            <w:rPr/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Slovensko.Digital, o.z.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jc w:val="left"/>
            <w:rPr/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Staré Grunty 12, Bratislava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8">
          <w:pPr>
            <w:jc w:val="left"/>
            <w:rPr/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IČO: 50158635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9">
          <w:pPr>
            <w:spacing w:after="708" w:lineRule="auto"/>
            <w:jc w:val="left"/>
            <w:rPr/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rtl w:val="0"/>
            </w:rPr>
            <w:t xml:space="preserve">DIČ: 2120264674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4552950" cy="7715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52950" cy="7715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