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725D">
      <w:pPr>
        <w:pStyle w:val="Nadpis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SU-su_119</w:t>
      </w:r>
    </w:p>
    <w:p w:rsidR="00000000" w:rsidRDefault="00F9725D">
      <w:pPr>
        <w:pStyle w:val="Normlnywebov"/>
      </w:pPr>
      <w:r>
        <w:t> </w:t>
      </w:r>
      <w:r>
        <w:t xml:space="preserve"> </w:t>
      </w:r>
    </w:p>
    <w:p w:rsidR="00000000" w:rsidRDefault="00F9725D">
      <w:pPr>
        <w:pStyle w:val="Nadpis1"/>
        <w:rPr>
          <w:rFonts w:eastAsia="Times New Roman"/>
        </w:rPr>
      </w:pPr>
      <w:r>
        <w:rPr>
          <w:rFonts w:eastAsia="Times New Roman"/>
        </w:rPr>
        <w:t>Prílohy Cloud</w:t>
      </w:r>
    </w:p>
    <w:p w:rsidR="00000000" w:rsidRDefault="00F9725D">
      <w:pPr>
        <w:pStyle w:val="Normlnywebov"/>
      </w:pPr>
      <w:r>
        <w:rPr>
          <w:rStyle w:val="Siln"/>
        </w:rPr>
        <w:t>Informácie v jednotlivých tabuľkách sa môžu na seba vzájomne odkazovať. Za tým účelom majú riadky uvádzané v tabuľkách svoje jednoznačné identifikátory s </w:t>
      </w:r>
      <w:r>
        <w:rPr>
          <w:rStyle w:val="Siln"/>
        </w:rPr>
        <w:t>navrhovaným prefixom, tak aby sa zabezpečila unikátnosť identifikátora vo všetkých spracovávaných prílohách. Postupnosť a integritu (pri odkazovaní) identifikátorov navrhuje samotný spracovateľ.</w:t>
      </w:r>
    </w:p>
    <w:p w:rsidR="00000000" w:rsidRDefault="00F9725D">
      <w:pPr>
        <w:pStyle w:val="Normlnywebov"/>
      </w:pPr>
      <w:r>
        <w:rPr>
          <w:rStyle w:val="Siln"/>
          <w:sz w:val="36"/>
          <w:szCs w:val="36"/>
        </w:rPr>
        <w:t>Zoznam tabuliek</w:t>
      </w:r>
      <w:r>
        <w:rPr>
          <w:sz w:val="36"/>
          <w:szCs w:val="36"/>
        </w:rPr>
        <w:t xml:space="preserve"> </w:t>
      </w:r>
    </w:p>
    <w:p w:rsidR="00000000" w:rsidRDefault="00F9725D">
      <w:pPr>
        <w:pStyle w:val="Normlnywebov"/>
      </w:pPr>
      <w:hyperlink w:anchor="SU-su_119-_Toc419812632" w:history="1">
        <w:r>
          <w:rPr>
            <w:rStyle w:val="Hypertextovprepojenie"/>
          </w:rPr>
          <w:t xml:space="preserve">Tabuľka 1 Zoznam zvolených cloudových služieb </w:t>
        </w:r>
      </w:hyperlink>
      <w:r>
        <w:br/>
      </w:r>
      <w:hyperlink w:anchor="SU-su_119-_Toc419812633" w:history="1">
        <w:r>
          <w:rPr>
            <w:rStyle w:val="Hypertextovprepojenie"/>
          </w:rPr>
          <w:t xml:space="preserve">Tabuľka 2 Riziká projektu </w:t>
        </w:r>
      </w:hyperlink>
      <w:r>
        <w:br/>
      </w:r>
      <w:hyperlink w:anchor="SU-su_119-_Toc419812634" w:history="1">
        <w:r>
          <w:rPr>
            <w:rStyle w:val="Hypertextovprepojenie"/>
          </w:rPr>
          <w:t xml:space="preserve">Tabuľka 3 Výstupy projektu a kritériá kvality </w:t>
        </w:r>
      </w:hyperlink>
      <w:r>
        <w:br/>
      </w:r>
      <w:hyperlink w:anchor="SU-su_119-_Toc419812635" w:history="1">
        <w:r>
          <w:rPr>
            <w:rStyle w:val="Hypertextovprepojenie"/>
          </w:rPr>
          <w:t xml:space="preserve">Tabuľka 4 Legislatíva </w:t>
        </w:r>
      </w:hyperlink>
      <w:r>
        <w:br/>
      </w:r>
      <w:hyperlink w:anchor="SU-su_119-_Toc419812636" w:history="1">
        <w:r>
          <w:rPr>
            <w:rStyle w:val="Hypertextovprepojenie"/>
          </w:rPr>
          <w:t xml:space="preserve">Tabuľka 5 Zoznam zainteresovaných </w:t>
        </w:r>
      </w:hyperlink>
      <w:r>
        <w:br/>
      </w:r>
      <w:hyperlink w:anchor="SU-su_119-_Toc519812637" w:history="1">
        <w:r>
          <w:rPr>
            <w:rStyle w:val="Hypertextovprepojenie"/>
          </w:rPr>
          <w:t>Tabuľka 6 Zoznam cieľov OP II</w:t>
        </w:r>
      </w:hyperlink>
      <w:r>
        <w:t xml:space="preserve"> </w:t>
      </w:r>
      <w:r>
        <w:br/>
      </w:r>
      <w:hyperlink w:anchor="SU-su_119-_Toc419812637" w:history="1">
        <w:r>
          <w:rPr>
            <w:rStyle w:val="Hypertextovprepojenie"/>
          </w:rPr>
          <w:t xml:space="preserve">Tabuľka 7 Zoznam cieľov </w:t>
        </w:r>
      </w:hyperlink>
      <w:r>
        <w:br/>
      </w:r>
      <w:hyperlink w:anchor="SU-su_119-_Toc419812638" w:history="1">
        <w:r>
          <w:rPr>
            <w:rStyle w:val="Hypertextovprepojenie"/>
          </w:rPr>
          <w:t xml:space="preserve">Tabuľka 8 Princípy </w:t>
        </w:r>
      </w:hyperlink>
      <w:r>
        <w:br/>
      </w:r>
      <w:hyperlink w:anchor="SU-su_119-_Toc419812643" w:history="1">
        <w:r>
          <w:rPr>
            <w:rStyle w:val="Hypertextovprepojenie"/>
          </w:rPr>
          <w:t xml:space="preserve">Tabuľka 9 Biznis služby </w:t>
        </w:r>
      </w:hyperlink>
      <w:r>
        <w:br/>
      </w:r>
      <w:hyperlink w:anchor="SU-su_119-_Toc419812644" w:history="1">
        <w:r>
          <w:rPr>
            <w:rStyle w:val="Hypertextovprepojenie"/>
          </w:rPr>
          <w:t xml:space="preserve">Tabuľka 10 Zoznam pôvodných KS, ktoré budú po ukončení projektu zrušené </w:t>
        </w:r>
      </w:hyperlink>
      <w:r>
        <w:br/>
      </w:r>
      <w:hyperlink w:anchor="SU-su_119-_Toc419812645" w:history="1">
        <w:r>
          <w:rPr>
            <w:rStyle w:val="Hypertextovprepojenie"/>
          </w:rPr>
          <w:t xml:space="preserve">Tabuľka 11 Zoznam informačných systémov </w:t>
        </w:r>
      </w:hyperlink>
      <w:r>
        <w:br/>
      </w:r>
      <w:hyperlink w:anchor="SU-su_119-_Toc419812647" w:history="1">
        <w:r>
          <w:rPr>
            <w:rStyle w:val="Hypertextovprepojenie"/>
          </w:rPr>
          <w:t xml:space="preserve">Tabuľka 12 Poskytované aplikačné služby </w:t>
        </w:r>
      </w:hyperlink>
      <w:r>
        <w:br/>
      </w:r>
      <w:hyperlink w:anchor="SU-su_119-_Toc419812646" w:history="1">
        <w:r>
          <w:rPr>
            <w:rStyle w:val="Hypertextovprepojenie"/>
          </w:rPr>
          <w:t>Tabuľka 13 Zoznam pôvodných AS, kto</w:t>
        </w:r>
        <w:r>
          <w:rPr>
            <w:rStyle w:val="Hypertextovprepojenie"/>
          </w:rPr>
          <w:t xml:space="preserve">ré budú po ukončení projektu zrušené </w:t>
        </w:r>
      </w:hyperlink>
      <w:r>
        <w:br/>
      </w:r>
      <w:hyperlink w:anchor="SU-su_119-_Toc419812648" w:history="1">
        <w:r>
          <w:rPr>
            <w:rStyle w:val="Hypertextovprepojenie"/>
          </w:rPr>
          <w:t xml:space="preserve">Tabuľka 14 Aplikačné rozhrania </w:t>
        </w:r>
      </w:hyperlink>
      <w:r>
        <w:br/>
      </w:r>
      <w:hyperlink w:anchor="SU-su_119-_Toc419812649" w:history="1">
        <w:r>
          <w:rPr>
            <w:rStyle w:val="Hypertextovprepojenie"/>
          </w:rPr>
          <w:t xml:space="preserve">Tabuľka 15 Integrácie projektu </w:t>
        </w:r>
      </w:hyperlink>
      <w:r>
        <w:br/>
      </w:r>
      <w:hyperlink w:anchor="SU-su_119-_Toc419812650" w:history="1">
        <w:r>
          <w:rPr>
            <w:rStyle w:val="Hypertextovprepojenie"/>
          </w:rPr>
          <w:t>Tabuľka 16 Platf</w:t>
        </w:r>
        <w:r>
          <w:rPr>
            <w:rStyle w:val="Hypertextovprepojenie"/>
          </w:rPr>
          <w:t xml:space="preserve">orma </w:t>
        </w:r>
      </w:hyperlink>
      <w:r>
        <w:br/>
      </w:r>
      <w:hyperlink w:anchor="SU-su_119-_Toc419812652" w:history="1">
        <w:r>
          <w:rPr>
            <w:rStyle w:val="Hypertextovprepojenie"/>
          </w:rPr>
          <w:t xml:space="preserve">Tabuľka 17 Platformový softvér </w:t>
        </w:r>
      </w:hyperlink>
      <w:r>
        <w:br/>
      </w:r>
      <w:hyperlink w:anchor="SU-su_119-_Toc419812653" w:history="1">
        <w:r>
          <w:rPr>
            <w:rStyle w:val="Hypertextovprepojenie"/>
          </w:rPr>
          <w:t xml:space="preserve">Tabuľka 18 Výpočtové zdroje </w:t>
        </w:r>
      </w:hyperlink>
      <w:r>
        <w:br/>
      </w:r>
      <w:hyperlink w:anchor="SU-su_119-_Toc419812654" w:history="1">
        <w:r>
          <w:rPr>
            <w:rStyle w:val="Hypertextovprepojenie"/>
          </w:rPr>
          <w:t xml:space="preserve">Tabuľka 19 Úložiská údajov </w:t>
        </w:r>
      </w:hyperlink>
      <w:r>
        <w:br/>
      </w:r>
      <w:hyperlink w:anchor="SU-su_119-_Toc419812655" w:history="1">
        <w:r>
          <w:rPr>
            <w:rStyle w:val="Hypertextovprepojenie"/>
          </w:rPr>
          <w:t xml:space="preserve">Tabuľka 20 Zálohovanie </w:t>
        </w:r>
      </w:hyperlink>
      <w:r>
        <w:br/>
      </w:r>
      <w:hyperlink w:anchor="SU-su_119-_Toc419812656" w:history="1">
        <w:r>
          <w:rPr>
            <w:rStyle w:val="Hypertextovprepojenie"/>
          </w:rPr>
          <w:t xml:space="preserve">Tabuľka 21 Komunikačná infraštruktúra </w:t>
        </w:r>
      </w:hyperlink>
      <w:r>
        <w:br/>
      </w:r>
      <w:hyperlink w:anchor="SU-su_119-_Toc419812657" w:history="1">
        <w:r>
          <w:rPr>
            <w:rStyle w:val="Hypertextovprepojenie"/>
          </w:rPr>
          <w:t xml:space="preserve">Tabuľka 22 Špeciálne technológie </w:t>
        </w:r>
      </w:hyperlink>
      <w:r>
        <w:br/>
      </w:r>
      <w:hyperlink w:anchor="SU-su_119-_Toc419812658" w:history="1">
        <w:r>
          <w:rPr>
            <w:rStyle w:val="Hypertextovprepojenie"/>
          </w:rPr>
          <w:t xml:space="preserve">Tabuľka 23 Dátové centrum - sála </w:t>
        </w:r>
      </w:hyperlink>
      <w:r>
        <w:br/>
      </w:r>
      <w:hyperlink w:anchor="SU-su_119-_Toc419812660" w:history="1">
        <w:r>
          <w:rPr>
            <w:rStyle w:val="Hypertextovprepojenie"/>
          </w:rPr>
          <w:t xml:space="preserve">Tabuľka 24 Harmonogram projektu </w:t>
        </w:r>
      </w:hyperlink>
      <w:r>
        <w:br/>
      </w:r>
      <w:hyperlink w:anchor="SU-su_119-_Toc419812661" w:history="1">
        <w:r>
          <w:rPr>
            <w:rStyle w:val="Hypertextovprepojenie"/>
          </w:rPr>
          <w:t>Tabuľka 25 Kategórie technických problémov, vysvetlenie k&amp;#xa0;nasledujú</w:t>
        </w:r>
        <w:r>
          <w:rPr>
            <w:rStyle w:val="Hypertextovprepojenie"/>
          </w:rPr>
          <w:t xml:space="preserve">cim tabuľkám </w:t>
        </w:r>
      </w:hyperlink>
      <w:r>
        <w:br/>
      </w:r>
      <w:hyperlink w:anchor="SU-su_119-_Toc419812662" w:history="1">
        <w:r>
          <w:rPr>
            <w:rStyle w:val="Hypertextovprepojenie"/>
          </w:rPr>
          <w:t xml:space="preserve">Tabuľka 26 Dodávateľská podpora </w:t>
        </w:r>
      </w:hyperlink>
      <w:r>
        <w:br/>
      </w:r>
      <w:hyperlink w:anchor="SU-su_119-_Toc419812663" w:history="1">
        <w:r>
          <w:rPr>
            <w:rStyle w:val="Hypertextovprepojenie"/>
          </w:rPr>
          <w:t xml:space="preserve">Tabuľka 27 Podpora vlastnými zdrojmi </w:t>
        </w:r>
      </w:hyperlink>
      <w:r>
        <w:br/>
      </w:r>
      <w:hyperlink w:anchor="SU-su_119-_Toc419812664" w:history="1">
        <w:r>
          <w:rPr>
            <w:rStyle w:val="Hypertextovprepojenie"/>
          </w:rPr>
          <w:t>Tabuľka 28 Prostriedky v prenájme</w:t>
        </w:r>
        <w:r>
          <w:rPr>
            <w:rStyle w:val="Hypertextovprepojenie"/>
          </w:rPr>
          <w:t xml:space="preserve"> </w:t>
        </w:r>
      </w:hyperlink>
      <w:r>
        <w:br/>
      </w:r>
      <w:hyperlink w:anchor="SU-su_119-_Toc419812665" w:history="1">
        <w:r>
          <w:rPr>
            <w:rStyle w:val="Hypertextovprepojenie"/>
          </w:rPr>
          <w:t xml:space="preserve">Tabuľka 29 Podmienky udržateľnosti </w:t>
        </w:r>
      </w:hyperlink>
      <w:r>
        <w:br/>
      </w:r>
      <w:hyperlink w:anchor="SU-su_119-_Toc419812666" w:history="1">
        <w:r>
          <w:rPr>
            <w:rStyle w:val="Hypertextovprepojenie"/>
          </w:rPr>
          <w:t xml:space="preserve">Tabuľka 30 Kritické premenné </w:t>
        </w:r>
      </w:hyperlink>
      <w:r>
        <w:br/>
      </w:r>
      <w:hyperlink w:anchor="SU-su_119-_Toc419812639" w:history="1">
        <w:r>
          <w:rPr>
            <w:rStyle w:val="Hypertextovprepojenie"/>
          </w:rPr>
          <w:t xml:space="preserve">Tabuľka 31 Test štátnej pomoci </w:t>
        </w:r>
      </w:hyperlink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Všeobecne použité </w:t>
      </w:r>
      <w:r>
        <w:rPr>
          <w:rFonts w:eastAsia="Times New Roman"/>
        </w:rPr>
        <w:t>prílohy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Zoznam zvolených cloudových služieb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1 Zoznam zvolených cloudových služieb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27"/>
        <w:gridCol w:w="1673"/>
        <w:gridCol w:w="1047"/>
        <w:gridCol w:w="1337"/>
        <w:gridCol w:w="1736"/>
        <w:gridCol w:w="1710"/>
      </w:tblGrid>
      <w:tr w:rsidR="00000000">
        <w:trPr>
          <w:divId w:val="18403485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ID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Služba z katalógu služieb</w:t>
            </w:r>
          </w:p>
        </w:tc>
      </w:tr>
      <w:tr w:rsidR="00000000">
        <w:trPr>
          <w:divId w:val="1840348552"/>
          <w:cantSplit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0000"/>
              </w:rPr>
              <w:t>Identifikátor zvolenej služby</w:t>
            </w:r>
          </w:p>
          <w:p w:rsidR="00000000" w:rsidRDefault="00F9725D">
            <w:pPr>
              <w:pStyle w:val="Normlnywebov"/>
            </w:pPr>
            <w:r>
              <w:rPr>
                <w:color w:val="000000"/>
              </w:rPr>
              <w:t>N/A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0000"/>
              </w:rPr>
              <w:t>Identifikátor služby z katalógu cloudových služieb</w:t>
            </w:r>
          </w:p>
        </w:tc>
      </w:tr>
      <w:tr w:rsidR="00000000">
        <w:trPr>
          <w:divId w:val="1840348552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Parametre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Zvolená hodnota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Výdavky na zriadenie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Mesačný výdavok za poskytnutie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Ročný</w:t>
            </w:r>
            <w:r>
              <w:rPr>
                <w:color w:val="000000"/>
              </w:rPr>
              <w:t xml:space="preserve"> </w:t>
            </w:r>
            <w:r>
              <w:rPr>
                <w:rStyle w:val="Siln"/>
                <w:color w:val="000000"/>
              </w:rPr>
              <w:t>výdavok za poskytnutie služby</w:t>
            </w:r>
          </w:p>
        </w:tc>
      </w:tr>
      <w:tr w:rsidR="00000000">
        <w:trPr>
          <w:divId w:val="1840348552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840348552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0000"/>
              </w:rPr>
              <w:t>Úroveň poskytovania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840348552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Riziká projektu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2</w:t>
      </w:r>
      <w:r>
        <w:rPr>
          <w:color w:val="44546A"/>
        </w:rPr>
        <w:t xml:space="preserve"> </w:t>
      </w:r>
      <w:r>
        <w:rPr>
          <w:rStyle w:val="Zvraznenie"/>
          <w:color w:val="44546A"/>
        </w:rPr>
        <w:t>Riziká projektu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260"/>
        <w:gridCol w:w="1976"/>
        <w:gridCol w:w="1558"/>
        <w:gridCol w:w="2148"/>
        <w:gridCol w:w="410"/>
        <w:gridCol w:w="412"/>
      </w:tblGrid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Názov rizika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Pravdepodobnosť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Návrh mitigácie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 xml:space="preserve">AR </w:t>
            </w:r>
            <w:r>
              <w:t xml:space="preserve">( </w:t>
            </w:r>
            <w:hyperlink w:anchor="SU-su_119-ul1" w:history="1">
              <w:r>
                <w:rPr>
                  <w:rStyle w:val="Hypertextovprepojenie"/>
                </w:rPr>
                <w:t>1</w:t>
              </w:r>
            </w:hyperlink>
            <w:r>
              <w:t xml:space="preserve"> )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BR</w:t>
            </w:r>
            <w:r>
              <w:t xml:space="preserve"> ( </w:t>
            </w:r>
            <w:hyperlink w:anchor="SU-su_119-ul1" w:history="1">
              <w:r>
                <w:rPr>
                  <w:rStyle w:val="Hypertextovprepojenie"/>
                </w:rPr>
                <w:t>2</w:t>
              </w:r>
            </w:hyperlink>
            <w:r>
              <w:t xml:space="preserve"> )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lastRenderedPageBreak/>
              <w:t>R_X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Takmer isté riziko</w:t>
            </w:r>
            <w:r>
              <w:t xml:space="preserve"> - výskyt rizika treba v každom prípade očakávať. </w:t>
            </w:r>
            <w:r>
              <w:br/>
            </w:r>
            <w:r>
              <w:rPr>
                <w:rStyle w:val="Siln"/>
              </w:rPr>
              <w:t>Pravdepodobné riziko</w:t>
            </w:r>
            <w:r>
              <w:t xml:space="preserve"> - existuje vysoká pravdepodobnosť, že sa riziko vyskytne. </w:t>
            </w:r>
            <w:r>
              <w:br/>
            </w:r>
            <w:r>
              <w:rPr>
                <w:rStyle w:val="Siln"/>
              </w:rPr>
              <w:t>Stredné riziko</w:t>
            </w:r>
            <w:r>
              <w:t xml:space="preserve"> - riziko sa môže vyskytnúť. </w:t>
            </w:r>
            <w:r>
              <w:br/>
            </w:r>
            <w:r>
              <w:rPr>
                <w:rStyle w:val="Siln"/>
              </w:rPr>
              <w:t>Slabé riziko</w:t>
            </w:r>
            <w:r>
              <w:t xml:space="preserve"> - riziko sa môže vyskytnúť za veľmi špecifických okolností. </w:t>
            </w:r>
            <w:r>
              <w:br/>
            </w:r>
            <w:r>
              <w:rPr>
                <w:rStyle w:val="Siln"/>
              </w:rPr>
              <w:t>Nepravdepodobné riziko</w:t>
            </w:r>
            <w:r>
              <w:t xml:space="preserve"> - výskyt rizika sa neočakáva.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Extrémny dosah</w:t>
            </w:r>
            <w:r>
              <w:t xml:space="preserve"> - znemožní realizáciu projektu. </w:t>
            </w:r>
            <w:r>
              <w:br/>
            </w:r>
            <w:r>
              <w:rPr>
                <w:rStyle w:val="Siln"/>
              </w:rPr>
              <w:t>Vysoký dosah</w:t>
            </w:r>
            <w:r>
              <w:t xml:space="preserve"> - ovplyvní pokračovanie projektu </w:t>
            </w:r>
            <w:r>
              <w:br/>
            </w:r>
            <w:r>
              <w:rPr>
                <w:rStyle w:val="Siln"/>
              </w:rPr>
              <w:t>Stredný dosah</w:t>
            </w:r>
            <w:r>
              <w:t xml:space="preserve"> - vyžiada si úpravy projektu </w:t>
            </w:r>
            <w:r>
              <w:br/>
            </w:r>
            <w:r>
              <w:rPr>
                <w:rStyle w:val="Siln"/>
              </w:rPr>
              <w:t>Nízky dosah</w:t>
            </w:r>
            <w:r>
              <w:t xml:space="preserve"> - ovplyvní efektívnosť projektu v niektorých aspektoch. </w:t>
            </w:r>
            <w:r>
              <w:br/>
            </w:r>
            <w:r>
              <w:rPr>
                <w:rStyle w:val="Siln"/>
              </w:rPr>
              <w:t>Zanedbateľný dosah</w:t>
            </w:r>
            <w:r>
              <w:t xml:space="preserve"> </w:t>
            </w:r>
            <w:r>
              <w:t>- dosah sa minimalizuje bežnou činnosťou v rámci projektu.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R_1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Neschválenie financovania projektu z OP II PO 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Stredné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Nízky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Vytvorenie potrebnej dokumentácie v požadovanej kvalite a rozsahu.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Ponechaním aktuálneho stavu by nebo</w:t>
            </w:r>
            <w:r>
              <w:t>lo možné efektívne napĺňať požiadavky špecifického cieľa 7.9 OP II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Stredné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Vysoký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Realizácia ŠU a nasadenie GOVNET 2.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ÚV SR / NASES nie je gestorom danej legislatívy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Takmer isté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Vysoký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Včasné zahájenie tvorby novej legislatívy a komunikácia s ÚPPVII ako gestorom predmetnej legislatívy a komunikácia s gestorom predmetnej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inline-comment-marker"/>
                <w:rFonts w:eastAsia="Times New Roman"/>
              </w:rPr>
              <w:t>legislatív</w:t>
            </w:r>
            <w:r>
              <w:rPr>
                <w:rStyle w:val="inline-comment-marker"/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– ÚPPVII  v rámci schvaľovacieho procesu k ŠU a nasledovných etapách projektu. 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Nedostatok zamest</w:t>
            </w:r>
            <w:r>
              <w:rPr>
                <w:rFonts w:eastAsia="Times New Roman"/>
              </w:rPr>
              <w:t>nancov s potrebnou odbornosťou a skúsenosťami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Pravdepodobné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Vysoký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Celková zmena stratégie odmeňovania, motivovania a udržania si zamestnancov v IT oblasti v rámci verejnej správy. Vzhľadom na možnosti ovplyvniť takúto stratégiu je </w:t>
            </w:r>
            <w:r>
              <w:rPr>
                <w:rFonts w:eastAsia="Times New Roman"/>
              </w:rPr>
              <w:t>potrebné využitie zdroje OP EVS (viď schválený RZ NASES). 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Nedostupnosť nového prvku videokonferencie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Stredné riziko  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Stredný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Pravidelné vyhodnocovanie pripravenosti prvku videokonferencie a reflektovanie aktuálneho stavu v čase ukon</w:t>
            </w:r>
            <w:r>
              <w:rPr>
                <w:rFonts w:eastAsia="Times New Roman"/>
              </w:rPr>
              <w:t>čovania fázy detailnej špecifikácie riešenia. </w:t>
            </w: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R_8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 potrebnom čase nebude vykonaná analýza stavu a potrieb IKT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Stredný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Vykonanie analýzy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Nedodržanie pravidiel verejného obstarávania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Extrémny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Realizácia VO s odbornou starostlivosťou.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Nedostatočná kapacita infraštruktúry na potenciálny nárast počtu  používateľov GOVNET 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Stredné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Nízky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Vykonanie analýzy stavu a potrieb IKT a realizácia plá</w:t>
            </w:r>
            <w:r>
              <w:rPr>
                <w:rFonts w:eastAsia="Times New Roman"/>
              </w:rPr>
              <w:t>n migrácie do vládneho cloudu, komunikácia s gestorom vládneho cloudu - ÚPPVII.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Výrazná zmena strategických cieľov a princípov pred ukončením projektu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Pravdepodobné riziko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Vysoký dosah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Sledovanie výstupov ÚPPVII, pravidelná komunikácia s gestorom – ÚPPVII (prostredníctvom Programovej kancelárie VS) v rámci každého projektového míľnika.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Politické riziko pri zmene vlády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Nepravdepodobné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Zanedbateľný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Minimalizovať potr</w:t>
            </w:r>
            <w:r>
              <w:t>ebu zmeny legislatívy.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Implementačný tím nebude mať dostatočnú kapacitu, vedomosti a schopnosti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Slabé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Nízky dosah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Stanoviť prísne požiadavky na kľúčových expertov a ich participáciu počas celého trvania projektu.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Služby nebudú p</w:t>
            </w:r>
            <w:r>
              <w:t>oskytované v dostatočnej kvalite (vyskytne sa veľké množstvo chýb, dlhé doby odozvy a pod.)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Stredné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Stredný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Pravidelné vyhodnocovanie pripravenosti riešenia projektu a určiť zodpovedné osoby za jednotlivé výstupy projektu.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Náklady na realizáciu projektu sa vymknú kontrole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Slabé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Vysoký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Dôsledne zabezpečiť finančné riadenie a akceptačné konanie.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Zmeny obstarávacích cien v čase realizácie projektu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Slabé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Vysoký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Prehodnotiť rozpočet po každej etape. Zabezpečiť podpísanie dlhodobého kontraktu na dodávku diela s opciou pre následnú prevádzku.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Nereálne stanovený rozpočet na projekt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Slabé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Vysoký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Prehodnotiť rozpočet po každej etape. Zabezpečiť </w:t>
            </w:r>
            <w:r>
              <w:t>podpísanie dlhodobého kontraktu na dodávku diela s opciou pre následnú prevádzku.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R_18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Migrácia celej infraštruktúry do novej transportnej siete prinesie neočakávané komplikácie a znemožní používanie nových aplikácii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Slabé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Nízky dosah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Venovať zvýšenú pozornosť plánovaniu migrácie, návrhu štandardu migrovaných objektov a podobne.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R_19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Začatie komunikácie s gestorom predmetnej legislatívy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Pravdepodobné riziko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Stredný dosah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Včasné začatie komunikácie s gestorom predmetnej legislatívy.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06760699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Výstupy a kritériá kvality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3 Výstupy projektu a kritériá kvality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259"/>
        <w:gridCol w:w="6359"/>
      </w:tblGrid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Výstup projektu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Kritérium kvality a spôsob dosiahnutia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VP_X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Špecifikácia požiadaviek vrátane tých legislatívnych </w:t>
            </w:r>
            <w:r>
              <w:rPr>
                <w:rFonts w:eastAsia="Times New Roman"/>
                <w:color w:val="000000"/>
              </w:rPr>
              <w:t> 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 rámci aktivity analýza a dizajn je potrebné zozbierať, prediskutovať, pochopiť a zdokumentovať všetky funkčné a nefunkčné požiadavky na plánované riešenie.</w:t>
            </w:r>
          </w:p>
          <w:p w:rsidR="00000000" w:rsidRDefault="00F9725D">
            <w:pPr>
              <w:pStyle w:val="Normlnywebov"/>
            </w:pPr>
            <w:r>
              <w:t>Všetky tieto  informácie sú zosumarizova</w:t>
            </w:r>
            <w:r>
              <w:t>né a následne používané analytikmi a návrhármi na vytvorenie riešenia, ako aj testermi na jeho overenie.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Detailná špecifikácia riešenia  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Zahŕňa najmä prevzatie rámcovej architektúry riešenia zo štúdie uskutočniteľnosti, resp. jej rozpracovanie pr</w:t>
            </w:r>
            <w:r>
              <w:rPr>
                <w:rFonts w:eastAsia="Times New Roman"/>
              </w:rPr>
              <w:t>i nových požiadavkách, t.j. vykonáva sa spresnenie architektúry a špecifikácie riešenia, vykoná sa detailná analýza požiadaviek analýza detailného popisu udalostí a správania v prípadoch použitia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VP_3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0000"/>
              </w:rPr>
              <w:t>Integračná dokumentácia  </w:t>
            </w:r>
          </w:p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Výstupy - integračný manuá</w:t>
            </w:r>
            <w:r>
              <w:rPr>
                <w:rFonts w:eastAsia="Times New Roman"/>
              </w:rPr>
              <w:t>l pre rolu poskytovateľ, dokumentácia k integráciám v roli konzument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VP_4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Implementované nové prvky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Implementovanie nového prvku videokonferencie, bezpečnostný prvok - IPsec tunel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Plán projektu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 súlade s výnosom MF SR 55/2014 o štandardoch pre IS V</w:t>
            </w:r>
            <w:r>
              <w:t>S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Popis produktu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 súlade s výnosom MF SR 55/2014 o štandardoch pre IS VS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Správa o dokončení projektu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 súlade s výnosom MF SR 55/2014 o štandardoch pre IS VS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VP_8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Administrátorská dokumentácia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Návod na správu a prevádzku informačného systému verejnej správy v zmysle a kvalite podľa Výnosu MF SR č. 55/2014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Bezpečnostná dokumentácia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Bezpečnostný projekt vrátane návrhu postupov pre riadenie prístupov, havarijné plánovanie, implementáciu bezpe</w:t>
            </w:r>
            <w:r>
              <w:t>čných zmien v GOVNET a bezpečnostného monitoringu, návrh aktualizácie bezpečnostnej politiky NASES v súvislosti s nasadením GOVNET 2. Návrhy postupov ktoré budú zosúladené s postupmi informačných systémov Národnej agentúry pre sieťové a elektronické služby</w:t>
            </w:r>
            <w:r>
              <w:t xml:space="preserve"> ÚV SR a Dátového centra štátu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VP_10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Používateľská dokumentácia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Návod na používanie informačného systému verejnej správy orientovaný a dekomponovaný podľa rolí používateľov a ich pracovných postupov, v zmysle a kvalite podľa Výnosu MF SR č. 55/2014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VP_11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Prevádzková dokumentácia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Dokumentácia o architektúre informačného systému verejnej správy alebo jeho časti, jeho konfigurácii a väzbách na existujúce informačné systémy verejnej správy v zmysle a kvalite podľa Výnosu MF SR č. 55/2014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VP_12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Školenia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Vykon</w:t>
            </w:r>
            <w:r>
              <w:t>ané školenia interných zamestnancov zabezpečujúcich administráciu, prevádzku a podporu GOVNET 2. Vykonané školenia používateľov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VP_13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Naplnenie cieľov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Navrhované riešenie (popis budúceho stavu) plní všetky stanovené ciele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divId w:val="9710624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VP_14 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Naplnenie prínosov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Navrhované riešenie (popis budúceho stavu) plní všetky stanovené prínosy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VP_15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Kvalita vstupných informácií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Sú použité iba aktuálne a relevantné vstupné informácie</w:t>
            </w:r>
          </w:p>
        </w:tc>
      </w:tr>
      <w:tr w:rsidR="00000000">
        <w:trPr>
          <w:divId w:val="1089389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 xml:space="preserve">(1) Aktuálne riziko </w:t>
      </w:r>
      <w:r>
        <w:br/>
        <w:t>(2) Budúce riziko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Legislatívna analýza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4 Legislatíva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497"/>
        <w:gridCol w:w="1677"/>
        <w:gridCol w:w="4074"/>
        <w:gridCol w:w="1357"/>
      </w:tblGrid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Zdôvodnenie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Návrh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LA_X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Zvraznenie"/>
              </w:rPr>
              <w:t>Vid. Vysvetlenie typov právnych predpisov v metodickom usmernení</w:t>
            </w:r>
            <w:r>
              <w:t xml:space="preserve"> </w:t>
            </w:r>
            <w:r>
              <w:br/>
            </w:r>
            <w:r>
              <w:t xml:space="preserve">Aproximačné nariadenia vlády SR </w:t>
            </w:r>
            <w:r>
              <w:br/>
              <w:t xml:space="preserve">Zákon </w:t>
            </w:r>
            <w:r>
              <w:br/>
              <w:t xml:space="preserve">Nariadenia vlády SR </w:t>
            </w:r>
            <w:r>
              <w:br/>
              <w:t xml:space="preserve">Vyhlášky / výnosy / opatrenia </w:t>
            </w:r>
            <w:r>
              <w:br/>
              <w:t xml:space="preserve">Uznesenia vlády SR </w:t>
            </w:r>
            <w:r>
              <w:br/>
              <w:t xml:space="preserve">Vnútorné riadiace predpisy </w:t>
            </w:r>
            <w:r>
              <w:br/>
              <w:t xml:space="preserve">Zmluvy </w:t>
            </w:r>
            <w:r>
              <w:br/>
              <w:t>Technické normy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Zdôvodnenie zaradenia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Zdôvodnenie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EÚ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Stratégia kyberneti</w:t>
            </w:r>
            <w:r>
              <w:t>ckej bezpečnosti EÚ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Obsahuje opatrenia v súvislosti s narastajúcou občianskou aj podnikateľskou aktivitou v digitálnom priestore.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EÚ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Digitálna agenda pre Európu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Podpora interoperability medzi verejnými správami – refo</w:t>
            </w:r>
            <w:r>
              <w:t>rmácia pravidiel implementácie IKT v Európe</w:t>
            </w:r>
          </w:p>
          <w:p w:rsidR="00000000" w:rsidRDefault="00F9725D">
            <w:pPr>
              <w:pStyle w:val="Normlnywebov"/>
            </w:pPr>
            <w:r>
              <w:t>Posilnenie politiky v oblasti bezpečnosti sietí a informácií vysokej úrovne</w:t>
            </w:r>
          </w:p>
          <w:p w:rsidR="00000000" w:rsidRDefault="00F9725D">
            <w:pPr>
              <w:pStyle w:val="Normlnywebov"/>
            </w:pPr>
            <w:r>
              <w:t>Boj proti počítačovým útokom na informačné systémy – pravidlá právomoci v kybernetickom priestore na úrovni EÚ a medzinárodnej úrovni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</w:t>
            </w:r>
            <w:r>
              <w:t>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Operačný program Efektívna verejná správa 2014 – 2023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Operačný program Efektívna verejná správa 2014 – 2023 je referenčný dokument, na základe ktorého bude realizovaná podpora zlepšenia kvality verejných služieb a riadenia ľudských zdrojov, zmenšenia dopadov politického cyklu na personálne rozhodnutia, optima</w:t>
            </w:r>
            <w:r>
              <w:t>lizovania vnútorných procesov a presmerovania zdrojov k základným činnostiam VS na úrovni ústrednej štátnej správy (napr. prostredníctvom nezávislých funkčných preskúmaní) v súlade s komplexnou stratégiou Reformy verejnej správy”.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</w:t>
            </w:r>
            <w:r>
              <w:t>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Stratégia informatizácie verejnej správy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Dokument stanovuje strategické ciele procesu zavádzania eGovernmentu a definuje kroky vedúce k modernizácii verejnej správy a elektronizácii jej služieb.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</w:t>
            </w:r>
            <w:r>
              <w:t>rodná stratégia pre informačnú bezpečnosť v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Obsahom stratégie sú aj východiská, kompetenčné rozloženie právomocí, návrh smerovania, priorít a krokov k dosiahnutiu cieľa. Súčasťou dokumentu je aj základný popis jednotlivých úloh s cieľom zabezpečiť ochra</w:t>
            </w:r>
            <w:r>
              <w:t>nu digitálneho priestoru Slovenska v rozsahu neutajovaných informácií. Z hľadiska práce s informáciami sem patria najmä, únik informácií, neoprávnené použitie informácií a narušenie integrity údajov.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Strategický dok</w:t>
            </w:r>
            <w:r>
              <w:t>ument pre oblasť rastu digitálnych služieb a oblasť infraštruktúry prístupovej siete novej generácie 2014 – 2020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Dokument stanovuje stratégiu ďalšieho rozvoja digitálnych služieb a infraštruktúry prístupovej siete novej generácie na Slovensku na programové</w:t>
            </w:r>
            <w:r>
              <w:t xml:space="preserve"> obdobie 2014 – 2020. Zároveň plní ciele uvedené v pozičnom dokumente Európskej komisie a realizuje opatrenia Digitálnej agendy pre Európu, pričom nadväzuje na aktivity realizované v rámci Operačného programu Informatizácia spoločnosti v programovom období</w:t>
            </w:r>
            <w:r>
              <w:t xml:space="preserve"> 2007 – 2013.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LA_7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Koncepcia rozvoja informačných systémov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Koncepcie rozvoja informačných systémov verejnej správy ( „KRIS“) sú základným strategickým dokumentom povinných osôb v oblasti rozvoja informačných systémov.</w:t>
            </w:r>
          </w:p>
          <w:p w:rsidR="00000000" w:rsidRDefault="00F9725D">
            <w:pPr>
              <w:pStyle w:val="Normlnywebov"/>
            </w:pPr>
            <w:r>
              <w:t>KRIS definuje najmä ciele, organizačné, technické a technologické nástroje a architektúru informačných systémov verejnej správy.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LA_8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Operačný program Integrovaná infraštruktúra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Zameriava na plnenie dvoch tematických cie</w:t>
            </w:r>
            <w:r>
              <w:t>ľov:</w:t>
            </w:r>
          </w:p>
          <w:p w:rsidR="00000000" w:rsidRDefault="00F9725D">
            <w:pPr>
              <w:pStyle w:val="Normlnywebov"/>
            </w:pPr>
            <w:r>
              <w:rPr>
                <w:rStyle w:val="Siln"/>
              </w:rPr>
              <w:t>1)</w:t>
            </w:r>
            <w:r>
              <w:t xml:space="preserve"> </w:t>
            </w:r>
            <w:r>
              <w:rPr>
                <w:u w:val="single"/>
              </w:rPr>
              <w:t>Tematický cieľ 7</w:t>
            </w:r>
            <w:r>
              <w:t xml:space="preserve"> – Podpora udržateľnej dopravy a odstraňovanie prekážok v kľúčových sieťových infraštruktúrach,</w:t>
            </w:r>
          </w:p>
          <w:p w:rsidR="00000000" w:rsidRDefault="00F9725D">
            <w:pPr>
              <w:pStyle w:val="Normlnywebov"/>
            </w:pPr>
            <w:r>
              <w:rPr>
                <w:rStyle w:val="Siln"/>
              </w:rPr>
              <w:t xml:space="preserve">2) </w:t>
            </w:r>
            <w:r>
              <w:rPr>
                <w:u w:val="single"/>
              </w:rPr>
              <w:t>Tematický cieľ 2</w:t>
            </w:r>
            <w:r>
              <w:t xml:space="preserve"> – Zlepšenie prístupu k IKT a zlepšenie ich využívania a kvality – zlepšenie prístupu k IKT a zlepšenie ich využívani</w:t>
            </w:r>
            <w:r>
              <w:t>a a kvality. Prioritou cieľa je moderná a odborná VS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LA_9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Národná Stratégia Európa 2020 koncepcia informatizácie verejnej správy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Definuje ciele, princípy a priority smerovania rozvoja informatizácie verejnej správy do r</w:t>
            </w:r>
            <w:r>
              <w:rPr>
                <w:rFonts w:eastAsia="Times New Roman"/>
              </w:rPr>
              <w:t>oku 2020 a na vysokej úrovni pomenováva funkcionality, ktoré by sa mali implementovať (okrem iných IS VS) aj na strane prístupových komponentov ÚPVS a ÚKC a na strane spoločných modulov, tak aby boli naplnené stanovené ciele a princípy NKIVS.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A_10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Strategické dokumenty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Stratégia výskumu a inovácií pre inteligentnú špecializáciu Slovenskej republiky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OPII vývoju, výskumu a inováciám pomáha nepriamo, prostredníctvom vytvárania dopytu po inovatívnych riešeniach a produktoch s vysokou pridanou ho</w:t>
            </w:r>
            <w:r>
              <w:rPr>
                <w:rFonts w:eastAsia="Times New Roman"/>
              </w:rPr>
              <w:t>dnotou, ktoré budú využívané najmä vo verejnej správe.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  <w:tr w:rsidR="00000000">
        <w:trPr>
          <w:divId w:val="179833271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LA_11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Podzákonný predpis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Výnos MF SR č. 55/2014 Z. z. o štandardoch pre informačné systémy verejnej správy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Dotknutá oblasť: špecifikácia štandardov  v </w:t>
            </w:r>
            <w:r>
              <w:rPr>
                <w:rFonts w:eastAsia="Times New Roman"/>
              </w:rPr>
              <w:t>oblasti IS VS, ako sú – technické štandardy, štandardy prístupnosti a funkčnosti webových stránok, štandardy použitia súborov, štandardy pre názvoslovie elektronických služieb, bezpečnostné štandardy, dátové štandardy,štandardy elektronických služieb verej</w:t>
            </w:r>
            <w:r>
              <w:rPr>
                <w:rFonts w:eastAsia="Times New Roman"/>
              </w:rPr>
              <w:t xml:space="preserve">nej správy (vrátane elektronických formulárov), štandardy projektového riadenia (procesné štandardy pre riadenie IT projektov), štandardy poskytovania údajov v elektronickom prostredí  (otvorené údaje), štandardy poskytovania cloud computingu a využívania </w:t>
            </w:r>
            <w:r>
              <w:rPr>
                <w:rFonts w:eastAsia="Times New Roman"/>
              </w:rPr>
              <w:t>cloudových služieb.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 zmeny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Motivácia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Zainteresovaní</w:t>
      </w:r>
    </w:p>
    <w:p w:rsidR="00000000" w:rsidRDefault="00F9725D">
      <w:pPr>
        <w:pStyle w:val="Normlnywebov"/>
      </w:pPr>
      <w:r>
        <w:t>Rola jednotlivca, tímu alebo organizácie (alebo ich skupín), ktorá reprezentuje ich záujmy vo vzťahu k výstupom architektúry a dosiahnutým cieľom.</w:t>
      </w:r>
      <w:r>
        <w:br/>
      </w:r>
      <w:r>
        <w:rPr>
          <w:rStyle w:val="Zvraznenie"/>
          <w:color w:val="44546A"/>
        </w:rPr>
        <w:t>Tabuľka 5 Zoznam zainteresovaných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</w:t>
      </w:r>
      <w:r>
        <w:rPr>
          <w:rStyle w:val="Zvraznenie"/>
          <w:color w:val="44546A"/>
        </w:rPr>
        <w:t>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420"/>
        <w:gridCol w:w="6291"/>
      </w:tblGrid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Zainteresovaný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Popis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Bližšie spresnenie role, tímu, alebo organizácie .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Pracovník VS (úradník)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Pracovník verejnej správy (úradník), ktorý vystupuje v roli používateľa služieb verejnej správy.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ST_2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Úrad vlády SR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Úrad vlády Slovenskej republiky je okrem iného správcom strategických IS VS, a to vybraných prístupových komponentov a vybraných spoločných modulov,</w:t>
            </w:r>
          </w:p>
          <w:p w:rsidR="00000000" w:rsidRDefault="00F9725D">
            <w:pPr>
              <w:pStyle w:val="Normlnywebov"/>
            </w:pPr>
            <w:r>
              <w:t>ktoré sú kľúčovými architektonickými komponentami v oblasti výkonu verejnej moci elektronicky. Úrad vlády S</w:t>
            </w:r>
            <w:r>
              <w:t>R tiež vystupuje v roli poskytovateľa služieb VS.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Národná agentúra pre sieťové a elektronické služby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Národná agentúra pre sieťové a elektronické služby je podriadenou organizáciou pod Úradom vlády SR. Hlavnou úlohou a predmetom činnosti NASES je spr</w:t>
            </w:r>
            <w:r>
              <w:t>áva, prevádzka a rozvoj vládnej dátovej siete GOVNET</w:t>
            </w:r>
          </w:p>
          <w:p w:rsidR="00000000" w:rsidRDefault="00F9725D">
            <w:pPr>
              <w:pStyle w:val="Normlnywebov"/>
            </w:pPr>
            <w:r>
              <w:t>a prevádzka a rozvoj služieb Ústredného portálu verejnej správy, ako základných nástrojov informatizácie verejnej správy na Slovensku. NASES tiež vystupuje v roli poskytovateľa služieb VS.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ST_4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Úrad pod</w:t>
            </w:r>
            <w:r>
              <w:t>predsedu vlády pre investície a informatizáciu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Úrad podpredsedu vlády pre investície a informatizáciu je okrem iného koordinátorom informatizácie spoločnosti,  správcom strategických IS VS, a to vybraných prístupových komponentov a vybraných spoločných mod</w:t>
            </w:r>
            <w:r>
              <w:t>ulov,</w:t>
            </w:r>
          </w:p>
          <w:p w:rsidR="00000000" w:rsidRDefault="00F9725D">
            <w:pPr>
              <w:pStyle w:val="Normlnywebov"/>
            </w:pPr>
            <w:r>
              <w:t>ktoré sú kľúčovými architektonickými komponentami v oblasti výkonu verejnej moci elektronicky. Úrad tiež vystupuje v roli poskytovateľa služieb VS. </w:t>
            </w:r>
          </w:p>
        </w:tc>
      </w:tr>
      <w:tr w:rsidR="00000000">
        <w:trPr>
          <w:divId w:val="170658964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OVM - Orgán verejnej moci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Ministerstvo spravodlivosti SR</w:t>
            </w:r>
          </w:p>
          <w:p w:rsidR="00000000" w:rsidRDefault="00F9725D">
            <w:pPr>
              <w:pStyle w:val="Normlnywebov"/>
            </w:pPr>
            <w:r>
              <w:t>Ministerstvo financií SR</w:t>
            </w:r>
          </w:p>
          <w:p w:rsidR="00000000" w:rsidRDefault="00F9725D">
            <w:pPr>
              <w:pStyle w:val="Normlnywebov"/>
            </w:pPr>
            <w:r>
              <w:t>Ministerstvo dopravy a výstavby SR</w:t>
            </w:r>
          </w:p>
          <w:p w:rsidR="00000000" w:rsidRDefault="00F9725D">
            <w:pPr>
              <w:pStyle w:val="Normlnywebov"/>
            </w:pPr>
            <w:r>
              <w:t>Ministerstvo hospodárstva SR</w:t>
            </w:r>
          </w:p>
          <w:p w:rsidR="00000000" w:rsidRDefault="00F9725D">
            <w:pPr>
              <w:pStyle w:val="Normlnywebov"/>
            </w:pPr>
            <w:r>
              <w:t>Ministerstvo kultúry SR</w:t>
            </w:r>
          </w:p>
          <w:p w:rsidR="00000000" w:rsidRDefault="00F9725D">
            <w:pPr>
              <w:pStyle w:val="Normlnywebov"/>
            </w:pPr>
            <w:r>
              <w:t>Ministerstvo vnútra SR</w:t>
            </w:r>
          </w:p>
          <w:p w:rsidR="00000000" w:rsidRDefault="00F9725D">
            <w:pPr>
              <w:pStyle w:val="Normlnywebov"/>
            </w:pPr>
            <w:r>
              <w:t>Ministerstvo práce, sociálnych vecí a rodiny SR</w:t>
            </w:r>
          </w:p>
          <w:p w:rsidR="00000000" w:rsidRDefault="00F9725D">
            <w:pPr>
              <w:pStyle w:val="Normlnywebov"/>
            </w:pPr>
            <w:r>
              <w:t>Ministerstvo školstva, vedy, výskumu a športu SR</w:t>
            </w:r>
          </w:p>
          <w:p w:rsidR="00000000" w:rsidRDefault="00F9725D">
            <w:pPr>
              <w:pStyle w:val="Normlnywebov"/>
            </w:pPr>
            <w:r>
              <w:t>Ministerstvo zahraničných vecí a európskych zále</w:t>
            </w:r>
            <w:r>
              <w:t>žitostí SR</w:t>
            </w:r>
          </w:p>
          <w:p w:rsidR="00000000" w:rsidRDefault="00F9725D">
            <w:pPr>
              <w:pStyle w:val="Normlnywebov"/>
            </w:pPr>
            <w:r>
              <w:t>Ministerstvo zdravotníctva SR</w:t>
            </w:r>
          </w:p>
          <w:p w:rsidR="00000000" w:rsidRDefault="00F9725D">
            <w:pPr>
              <w:pStyle w:val="Normlnywebov"/>
            </w:pPr>
            <w:r>
              <w:t>Ministerstvo životného prostredia SR</w:t>
            </w:r>
          </w:p>
          <w:p w:rsidR="00000000" w:rsidRDefault="00F9725D">
            <w:pPr>
              <w:pStyle w:val="Normlnywebov"/>
            </w:pPr>
            <w:r>
              <w:t>Ministerstvo pôdohospodárstva a rozvoja vidieka SR</w:t>
            </w:r>
          </w:p>
          <w:p w:rsidR="00000000" w:rsidRDefault="00F9725D">
            <w:pPr>
              <w:pStyle w:val="Normlnywebov"/>
            </w:pPr>
            <w:r>
              <w:t>Ministerstvo obrany SR</w:t>
            </w:r>
          </w:p>
          <w:p w:rsidR="00000000" w:rsidRDefault="00F9725D">
            <w:pPr>
              <w:pStyle w:val="Normlnywebov"/>
            </w:pPr>
            <w:r>
              <w:t>Úrad pre verejné obstarávanie</w:t>
            </w:r>
          </w:p>
          <w:p w:rsidR="00000000" w:rsidRDefault="00F9725D">
            <w:pPr>
              <w:pStyle w:val="Normlnywebov"/>
            </w:pPr>
            <w:r>
              <w:t>Protimonopolný úrad SR</w:t>
            </w:r>
          </w:p>
          <w:p w:rsidR="00000000" w:rsidRDefault="00F9725D">
            <w:pPr>
              <w:pStyle w:val="Normlnywebov"/>
            </w:pPr>
            <w:r>
              <w:t>Štatistický úrad SR</w:t>
            </w:r>
          </w:p>
          <w:p w:rsidR="00000000" w:rsidRDefault="00F9725D">
            <w:pPr>
              <w:pStyle w:val="Normlnywebov"/>
            </w:pPr>
            <w:r>
              <w:t>Úrad geodézie, kartografie a ka</w:t>
            </w:r>
            <w:r>
              <w:t>tastra SR</w:t>
            </w:r>
          </w:p>
          <w:p w:rsidR="00000000" w:rsidRDefault="00F9725D">
            <w:pPr>
              <w:pStyle w:val="Normlnywebov"/>
            </w:pPr>
            <w:r>
              <w:t>Úrad jadrového dozoru SR</w:t>
            </w:r>
          </w:p>
          <w:p w:rsidR="00000000" w:rsidRDefault="00F9725D">
            <w:pPr>
              <w:pStyle w:val="Normlnywebov"/>
            </w:pPr>
            <w:r>
              <w:t>Úrad pre normalizáciu, metrológiu a skúšobníctvo SR</w:t>
            </w:r>
          </w:p>
          <w:p w:rsidR="00000000" w:rsidRDefault="00F9725D">
            <w:pPr>
              <w:pStyle w:val="Normlnywebov"/>
            </w:pPr>
            <w:r>
              <w:t>Úrad priemyselného vlastníctva SR</w:t>
            </w:r>
          </w:p>
          <w:p w:rsidR="00000000" w:rsidRDefault="00F9725D">
            <w:pPr>
              <w:pStyle w:val="Normlnywebov"/>
            </w:pPr>
            <w:r>
              <w:t>Správa štátnych hmotných rezerv SR</w:t>
            </w:r>
          </w:p>
          <w:p w:rsidR="00000000" w:rsidRDefault="00F9725D">
            <w:pPr>
              <w:pStyle w:val="Normlnywebov"/>
            </w:pPr>
            <w:r>
              <w:t>Národný bezpečnostný úrad</w:t>
            </w:r>
          </w:p>
          <w:p w:rsidR="00000000" w:rsidRDefault="00F9725D">
            <w:pPr>
              <w:pStyle w:val="bullet"/>
            </w:pPr>
            <w:r>
              <w:t>Sociálna poisťovňa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C</w:t>
      </w:r>
      <w:r>
        <w:rPr>
          <w:rStyle w:val="inline-comment-marker"/>
          <w:rFonts w:eastAsia="Times New Roman"/>
        </w:rPr>
        <w:t>iele OP II - P</w:t>
      </w:r>
      <w:r>
        <w:rPr>
          <w:rStyle w:val="inline-comment-marker"/>
          <w:rFonts w:eastAsia="Times New Roman"/>
        </w:rPr>
        <w:t>O</w:t>
      </w:r>
      <w:r>
        <w:rPr>
          <w:rFonts w:eastAsia="Times New Roman"/>
        </w:rPr>
        <w:t>7</w:t>
      </w:r>
    </w:p>
    <w:p w:rsidR="00000000" w:rsidRDefault="00F9725D">
      <w:pPr>
        <w:pStyle w:val="Normlnywebov"/>
      </w:pPr>
      <w:r>
        <w:t>Ktoré ciele OPII projekt rieši a </w:t>
      </w:r>
      <w:r>
        <w:t>či je k nim vypracovaný reformný zámer podľa vzoru EVS.</w:t>
      </w:r>
      <w:r>
        <w:br/>
      </w:r>
      <w:r>
        <w:rPr>
          <w:rStyle w:val="Zvraznenie"/>
          <w:color w:val="44546A"/>
        </w:rPr>
        <w:t>Tabuľka 6 Zoznam cieľov OP II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MetaIS, do tabuľky sa generujú.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727"/>
        <w:gridCol w:w="1336"/>
        <w:gridCol w:w="4741"/>
      </w:tblGrid>
      <w:tr w:rsidR="00000000">
        <w:trPr>
          <w:divId w:val="17837622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 cieľa OPII/OPEVS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Meno cieľa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Reformný zámer EVS (A/N/NA)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Spôsob naplnenia cieľa</w:t>
            </w:r>
          </w:p>
        </w:tc>
      </w:tr>
      <w:tr w:rsidR="00000000">
        <w:trPr>
          <w:divId w:val="17837622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ciel_po7_9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Zvýšenie kybernetickej </w:t>
            </w:r>
            <w:r>
              <w:t>bezpečnosti v spoločnosti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Informačné systémy a siete budú posudzované z pohľadu naplnenia zadefinovaných bezpečnostných cieľov a súladu s legislatívou. Budú sa implementovať a vylepšovať opatrenia na riadenie bezpečnostných rizík, predovšetkým pre systém</w:t>
            </w:r>
            <w:r>
              <w:t>y verejnej správy patriace do kritickej infraštruktúry. Zvýši sa transparentnosť informovania o bezpečnostných incidentoch jednotlivcov, ktorých osobné údaje boli stratené, ukradnuté alebo pozmenené. Celkovo sa zvýši dôvera v digitálny priestor a povedomie</w:t>
            </w:r>
            <w:r>
              <w:t xml:space="preserve"> o spôsobe riešenia kybernetických útokov. Prispeje k tomu tiež nasadenie platformy pre zber údajov a opatrení a pre posielanie výstrah súvisiacich s kybernetickou bezpečnosťou. Táto platforma bude interoperabilná s európskym riešením a napojená na Európsk</w:t>
            </w:r>
            <w:r>
              <w:t>e centrum pre kybernetický zločin.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Architektonické ciele</w:t>
      </w:r>
    </w:p>
    <w:p w:rsidR="00000000" w:rsidRDefault="00F9725D">
      <w:pPr>
        <w:pStyle w:val="Normlnywebov"/>
      </w:pPr>
      <w:r>
        <w:t>Koncový stav, prínos.</w:t>
      </w:r>
      <w:r>
        <w:br/>
      </w:r>
      <w:r>
        <w:rPr>
          <w:rStyle w:val="Zvraznenie"/>
          <w:color w:val="44546A"/>
        </w:rPr>
        <w:t>Tabuľka 7 Zoznam cieľov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MetaIS, do tabuľky sa generujú.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282"/>
        <w:gridCol w:w="4589"/>
        <w:gridCol w:w="1609"/>
      </w:tblGrid>
      <w:tr w:rsidR="00000000">
        <w:trPr>
          <w:divId w:val="363022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Cieľ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Spôsob naplnenia cieľa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Zainteresovaní</w:t>
            </w:r>
          </w:p>
        </w:tc>
      </w:tr>
      <w:tr w:rsidR="00000000">
        <w:trPr>
          <w:divId w:val="363022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ciel_16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Zvýšime ochranu kybernetického priestoru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Bezpečnosť a ochrana kybernetického priestoru je jedným zo základných aspektov efektívneho a najmä bezpečného používania služieb verejnej správy a komunikácie občanov a podnikateľov s verejnou správou a opačne.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63022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</w:t>
            </w:r>
            <w:r>
              <w:t>iel_19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Zlepšíme bezpečnosť údajov a transakcií vo verejnej správe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Zabezpečenie existencie, presnosti, úplnosti, platnosti a pravosti údajov v rámci elektronickej komunikácie, resp. elektronických transakcií, sú základnými aspektami zaručenia a zabezpečenia</w:t>
            </w:r>
            <w:r>
              <w:t xml:space="preserve"> efektívneho, bezpečného a spoľahlivého výkonu činností verejnej správy.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36302229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ciel_15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Racionalizujeme prevádzku informačných systémov pomocou vládneho cloudu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Využitie zdieľanej platformy vládneho cloudu zjednoduší využívanie IKT a povedie k minimalizácii nár</w:t>
            </w:r>
            <w:r>
              <w:t>okov na správu a údržbu informačných systémov verejnej správy. Vládny cloud sa stane nástrojom efektívneho budovania a prevádzky informačných systémov pri dosiahnutí vysokej bezpečnosti, ochrany osobných údajov a ďalších citlivých informácií.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Architek</w:t>
      </w:r>
      <w:r>
        <w:rPr>
          <w:rFonts w:eastAsia="Times New Roman"/>
        </w:rPr>
        <w:t>tonické princípy</w:t>
      </w:r>
    </w:p>
    <w:p w:rsidR="00000000" w:rsidRDefault="00F9725D">
      <w:pPr>
        <w:pStyle w:val="Normlnywebov"/>
      </w:pPr>
      <w:r>
        <w:t>Architektonické princípy, ktoré musia byť realizované.</w:t>
      </w:r>
      <w:r>
        <w:br/>
      </w:r>
      <w:r>
        <w:rPr>
          <w:rStyle w:val="Zvraznenie"/>
          <w:color w:val="44546A"/>
        </w:rPr>
        <w:t>Tabuľka 8 Princípy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MetaIS, do tabuľky sa generujú.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754"/>
        <w:gridCol w:w="2556"/>
        <w:gridCol w:w="4023"/>
        <w:gridCol w:w="899"/>
      </w:tblGrid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Spôsob plnenia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princip_19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TECHNOLOGICKÁ INTEROPERABILITA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Softvér a hardvér vo verejnej správe musí byť v súlade s definovanými štandardami, ktoré podporujú interoperabilitu údajov, aplikácií a technológií, a to v celom európskom priestore.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UNIFORMITA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 pohľadu používateľa je obsluha používateľa cez akýkoľvek kanál jednotná a používa štandardné postupy a riešenia.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princip_23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PRAVOSŤ ÚDAJOV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Používateľ pracuje len s údajmi, ktorých hodnovernosť a pôvod sú zabezpečené napríklad ich autorizáciou,</w:t>
            </w:r>
            <w:r>
              <w:t xml:space="preserve"> a ktoré sú z dôveryhodného zdroja s garantovanou identitou.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ORIENTÁCIA NA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Architektúra verejnej správy je založená na definícii služieb, ktoré odrážajú procesy reálneho sveta. To znamená, že akákoľvek vrstva architektúry verejnej správy (vrstva procesov, IS, technológií) komunikuje s okolitým svetom prostredníctvom služieb , kto</w:t>
            </w:r>
            <w:r>
              <w:t>ré sú konzumované prostredníctvom rôznych kanálov (rozhraní). Zámerom je podporiť digitálnu transformáciu verejnej správy, ktoré bude poskytovať používateľsky prívetivé elektronické služby ako štandard, a to aj pre cezhraničné vybavovanie životných situáci</w:t>
            </w:r>
            <w:r>
              <w:t>í.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princip_20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OTVORENÉ ŠTANDARDY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Prednostne sa používajú otvorené štandardy a formáty a dôraz sa kladie nazabezpečenie technologickej neutrálnosti.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princip_25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AUDITOVATEĽNOSŤ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Riadenie informačnej bezpečnosti rovnako ako aj iných aktiv</w:t>
            </w:r>
            <w:r>
              <w:t>ít vo verejnej správe musí používať princípy a pravidlá, ktoré umožňujú výkon kontroly a zároveň umožňujú generovanie auditných a iných log záznamov s požadovanou úrovňou ich ochrany.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princip_17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SPOLOČNÉ POUŽÍVANIE APLIKÁCIÍ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Aplikácie, ktoré sú </w:t>
            </w:r>
            <w:r>
              <w:t>jednotne používané v rámci celej verejnej správy sú preferované pred používaním obdobných aplikácií alebo pred vývojom duplicitných aplikácií.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princip_22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BEZPEČNOSŤ ÚDAJOV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Údaje sú chránené n</w:t>
            </w:r>
            <w:r>
              <w:t>ajmä pred neoprávneným prístupom, manipuláciou, použitím a zverejnením (zachovanie dôvernosti údajov), ich úmyselnou alebo neúmyselnou modifikáciou (zachovanie integrity údajov) a sú dostupné v požadovanom čase a v požadovanej kvalite (zachovanie dostupnos</w:t>
            </w:r>
            <w:r>
              <w:t>ti údajov).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princip_30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EFEKTÍVNOSŤ A PRIDANÁ HODNOTA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Informatizácia verejnej správy sleduje najvyššiu hodnotu za peniaze a prebieha na základe kontinuálneho vyhodnocovania nákladov a prínosov.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35222617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princip_32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Princíp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MODULÁRNOSŤ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Aplikácie IKT sú č</w:t>
            </w:r>
            <w:r>
              <w:t>lenené na menšie samostatné časti, ktoré sú prepojené dobre definovanými rozhraniami s cieľom zvýšiť flexibilitu riešení.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Biznis architektúra</w:t>
      </w:r>
    </w:p>
    <w:p w:rsidR="00000000" w:rsidRDefault="00F9725D">
      <w:pPr>
        <w:pStyle w:val="Nadpis3"/>
        <w:rPr>
          <w:rFonts w:eastAsia="Times New Roman"/>
        </w:rPr>
      </w:pPr>
      <w:r>
        <w:rPr>
          <w:rStyle w:val="inline-comment-marker"/>
          <w:rFonts w:eastAsia="Times New Roman"/>
        </w:rPr>
        <w:t>Koncové služb</w:t>
      </w:r>
      <w:r>
        <w:rPr>
          <w:rStyle w:val="inline-comment-marker"/>
          <w:rFonts w:eastAsia="Times New Roman"/>
        </w:rPr>
        <w:t>y</w:t>
      </w:r>
    </w:p>
    <w:p w:rsidR="00000000" w:rsidRDefault="00F9725D">
      <w:pPr>
        <w:pStyle w:val="Normlnywebov"/>
      </w:pPr>
      <w:r>
        <w:rPr>
          <w:rStyle w:val="inline-comment-marker"/>
        </w:rPr>
        <w:t>Koncové služby, ktoré budú výstupom projektu</w:t>
      </w:r>
      <w:r>
        <w:rPr>
          <w:rStyle w:val="inline-comment-marker"/>
        </w:rPr>
        <w:t>.</w:t>
      </w:r>
      <w:r>
        <w:br/>
      </w:r>
      <w:r>
        <w:rPr>
          <w:rStyle w:val="Zvraznenie"/>
          <w:color w:val="44546A"/>
        </w:rPr>
        <w:t>Tabuľka 9 Biznis služby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</w:t>
      </w:r>
      <w:r>
        <w:rPr>
          <w:rStyle w:val="Zvraznenie"/>
          <w:color w:val="44546A"/>
        </w:rPr>
        <w:t>S, do tabuľky sa generujú.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3531"/>
        <w:gridCol w:w="2053"/>
        <w:gridCol w:w="130"/>
      </w:tblGrid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Kód a názov koncovej služby: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ks_335994</w:t>
            </w:r>
          </w:p>
          <w:p w:rsidR="00000000" w:rsidRDefault="00F9725D">
            <w:pPr>
              <w:pStyle w:val="Normlnywebov"/>
            </w:pPr>
            <w:r>
              <w:t>Poskytovanie videokonferenčných služieb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Popis: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Predstavuje poskytovanie služieb umožňujúcich nadväzovanie komunikácie v reálnom čase medzi dvoma a viacerými účastníkmi, kedy počas tejto komunikácie je možné jednak súčasne prenášať obraz a zvuk vysokej kvality k jednotlivým účastníkom, ale taktiež umožň</w:t>
            </w:r>
            <w:r>
              <w:t>uje (vzhľadom na nárast rýchlosti pripojenia a súčasný pokles nákladov za širokopásmové pripojenie) plnohodnotné pracovné stretnutie v reálnom čase medzi vzdialenými lokalitami s rovnakým prínosom ako stretnutie za jedným stolom.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Úroveň elektronizácie: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úroveň 4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Notifikácia priebehu konania: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2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Vyžadovaná úroveň autentifikácie: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2 - s nízkym zabezpečením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Používateľ: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inštitúcia verejnej správy (G2G)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Prístupové miesto: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špecializovaný portál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Kanál: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Gestor: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Národná agentúra pre sieťové a elektronické služby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Životná situácia: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Agenda verejnej správy: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Úlohy spojené s odborným, organizačným a technickým zabezpečovaním činnosti vlády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Generická: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Nie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Prezentačná/elektronická úradná komunikácia: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Nie</w:t>
            </w: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Koncovú službu realizuje AS: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t>as_57857 Poskytovanie videokonferenčných služieb</w:t>
            </w:r>
          </w:p>
        </w:tc>
      </w:tr>
      <w:tr w:rsidR="00000000">
        <w:trPr>
          <w:divId w:val="292181176"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SLA parametre: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Vychodiskový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Cieľový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Doba odozvy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Počet volaní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1150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92181176"/>
          <w:cantSplit/>
          <w:tblCellSpacing w:w="15" w:type="dxa"/>
        </w:trPr>
        <w:tc>
          <w:tcPr>
            <w:tcW w:w="3600" w:type="dxa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Pomer elektronických transakcií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1 %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100 %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10 Zoznam pôvodných KS, ktoré budú po ukončení projektu zrušené: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Architektúra informačných systémov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Informačné systémy (ISVS)</w:t>
      </w:r>
    </w:p>
    <w:p w:rsidR="00000000" w:rsidRDefault="00F9725D">
      <w:pPr>
        <w:pStyle w:val="Normlnywebov"/>
      </w:pPr>
      <w:r>
        <w:t>Príloha obsahuje informačné systémy (IS) organizácie a podriadených organizácií, ktoré budú</w:t>
      </w:r>
      <w:r>
        <w:t xml:space="preserve"> projektom rozvíjané alebo budované.</w:t>
      </w:r>
      <w:r>
        <w:br/>
      </w:r>
      <w:r>
        <w:rPr>
          <w:rStyle w:val="Zvraznenie"/>
          <w:color w:val="44546A"/>
        </w:rPr>
        <w:t>Tabuľka 11 Zoznam informačných systémov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MetaIS, do tabuľky sa generujú.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2322"/>
        <w:gridCol w:w="1292"/>
        <w:gridCol w:w="1725"/>
        <w:gridCol w:w="1361"/>
        <w:gridCol w:w="1488"/>
      </w:tblGrid>
      <w:tr w:rsidR="00000000">
        <w:trPr>
          <w:divId w:val="13464412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Názov informačného systému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Manažér ISVS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Počet používateľov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Modul ISVS -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Modul ISVS - názov</w:t>
            </w:r>
          </w:p>
        </w:tc>
      </w:tr>
      <w:tr w:rsidR="00000000">
        <w:trPr>
          <w:divId w:val="134644123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isvs_9320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GOVNET2.0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Style w:val="inline-comment-marker"/>
          <w:rFonts w:eastAsia="Times New Roman"/>
        </w:rPr>
        <w:t>Aplikačné služb</w:t>
      </w:r>
      <w:r>
        <w:rPr>
          <w:rStyle w:val="inline-comment-marker"/>
          <w:rFonts w:eastAsia="Times New Roman"/>
        </w:rPr>
        <w:t>y</w:t>
      </w:r>
    </w:p>
    <w:p w:rsidR="00000000" w:rsidRDefault="00F9725D">
      <w:pPr>
        <w:pStyle w:val="Normlnywebov"/>
      </w:pPr>
      <w:r>
        <w:t>Príloha obsahuje služby, ktoré budú výstupom projektu.</w:t>
      </w:r>
      <w:r>
        <w:br/>
      </w:r>
      <w:r>
        <w:rPr>
          <w:rStyle w:val="Zvraznenie"/>
          <w:color w:val="44546A"/>
        </w:rPr>
        <w:t>Tabuľka 12</w:t>
      </w:r>
      <w:r>
        <w:rPr>
          <w:color w:val="44546A"/>
        </w:rPr>
        <w:t xml:space="preserve"> </w:t>
      </w:r>
      <w:r>
        <w:rPr>
          <w:rStyle w:val="Zvraznenie"/>
          <w:color w:val="44546A"/>
        </w:rPr>
        <w:t>Poskytované aplikačné služby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v MetaIS, do tabuľky sa generujú.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35"/>
      </w:tblGrid>
      <w:tr w:rsidR="00000000">
        <w:trPr>
          <w:divId w:val="180434398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ormlnywebov"/>
        <w:divId w:val="32660327"/>
      </w:pPr>
      <w:r>
        <w:t> </w: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rPr>
          <w:rStyle w:val="Zvraznenie"/>
          <w:color w:val="003366"/>
        </w:rPr>
        <w:t>Tabuľka 13 Zoznam pôvodných AS, ktoré budú po ukončení projektu zrušen</w:t>
      </w:r>
      <w:r>
        <w:rPr>
          <w:rStyle w:val="Zvraznenie"/>
          <w:color w:val="003366"/>
        </w:rPr>
        <w:t>é:</w:t>
      </w:r>
      <w:r>
        <w:rPr>
          <w:color w:val="FF0000"/>
        </w:rPr>
        <w:t xml:space="preserve"> </w:t>
      </w:r>
      <w:r>
        <w:br/>
      </w:r>
      <w:r>
        <w:rPr>
          <w:rStyle w:val="Zvraznenie"/>
          <w:color w:val="003366"/>
        </w:rPr>
        <w:t>Údaje sa vypĺňajú manuálne.</w: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Aplikačné rozhrania - endpoint</w:t>
      </w:r>
    </w:p>
    <w:p w:rsidR="00000000" w:rsidRDefault="00F9725D">
      <w:pPr>
        <w:pStyle w:val="Normlnywebov"/>
      </w:pPr>
      <w:r>
        <w:rPr>
          <w:color w:val="003366"/>
        </w:rPr>
        <w:t>Prístupový bod, ktorý sprístupňuje aplikačnú službu (Poskytované aplikačné služby) používateľom alebo iným aplikačným komponentom.</w:t>
      </w:r>
      <w:r>
        <w:br/>
      </w:r>
      <w:r>
        <w:rPr>
          <w:rStyle w:val="Zvraznenie"/>
          <w:color w:val="003366"/>
        </w:rPr>
        <w:t>Tabuľka 14</w:t>
      </w:r>
      <w:r>
        <w:rPr>
          <w:color w:val="003366"/>
        </w:rPr>
        <w:t xml:space="preserve"> </w:t>
      </w:r>
      <w:r>
        <w:rPr>
          <w:rStyle w:val="Zvraznenie"/>
          <w:color w:val="003366"/>
        </w:rPr>
        <w:t>Aplikačné rozhrania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700"/>
        <w:gridCol w:w="6705"/>
        <w:gridCol w:w="367"/>
        <w:gridCol w:w="369"/>
      </w:tblGrid>
      <w:tr w:rsidR="00000000">
        <w:trPr>
          <w:divId w:val="2831984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</w:p>
        </w:tc>
      </w:tr>
      <w:tr w:rsidR="00000000">
        <w:trPr>
          <w:divId w:val="2831984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Stručný a jasný popis daného rozhrania s dôrazom na vymedzenie jeho cieľov.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</w:p>
    <w:p w:rsidR="00000000" w:rsidRDefault="00F9725D">
      <w:pPr>
        <w:pStyle w:val="Normlnywebov"/>
      </w:pPr>
      <w:r>
        <w:rPr>
          <w:color w:val="003366"/>
        </w:rPr>
        <w:t>Príloha, ktorá obsahuje evidenciu všetkých existujúcich a plánovaných integrácii v </w:t>
      </w:r>
      <w:r>
        <w:rPr>
          <w:color w:val="003366"/>
        </w:rPr>
        <w:t>predmetnom rozsahu projektu na jednotlivé IS VS až na úroveň poskytovaných služieb.</w:t>
      </w:r>
    </w:p>
    <w:p w:rsidR="00000000" w:rsidRDefault="00F9725D">
      <w:pPr>
        <w:pStyle w:val="Normlnywebov"/>
      </w:pPr>
      <w:r>
        <w:rPr>
          <w:rStyle w:val="Zvraznenie"/>
          <w:color w:val="003366"/>
        </w:rPr>
        <w:t>Tabuľka 15</w:t>
      </w:r>
      <w:r>
        <w:rPr>
          <w:color w:val="003366"/>
        </w:rPr>
        <w:t xml:space="preserve"> </w:t>
      </w:r>
      <w:r>
        <w:rPr>
          <w:rStyle w:val="Zvraznenie"/>
          <w:color w:val="003366"/>
        </w:rPr>
        <w:t>Integrácie projektu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675"/>
        <w:gridCol w:w="1364"/>
        <w:gridCol w:w="1686"/>
        <w:gridCol w:w="1557"/>
        <w:gridCol w:w="1406"/>
        <w:gridCol w:w="401"/>
        <w:gridCol w:w="403"/>
      </w:tblGrid>
      <w:tr w:rsidR="00000000">
        <w:trPr>
          <w:divId w:val="21455353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Informačný systém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Kód konzumenta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 aplikačnej služby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Kód poskytovateľa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Popis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4" w:history="1">
              <w:r>
                <w:rPr>
                  <w:rStyle w:val="Hypertextovprepojenie"/>
                  <w:color w:val="003366"/>
                </w:rPr>
                <w:t>8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</w:t>
            </w:r>
            <w:r>
              <w:rPr>
                <w:color w:val="003366"/>
              </w:rPr>
              <w:t xml:space="preserve">( </w:t>
            </w:r>
            <w:hyperlink w:anchor="SU-su_119-ul4" w:history="1">
              <w:r>
                <w:rPr>
                  <w:rStyle w:val="Hypertextovprepojenie"/>
                  <w:color w:val="003366"/>
                </w:rPr>
                <w:t>9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21455353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Názov ISVS na ktorý existuje, alebo má byť uskutočnená integrácia..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Názov služby IS, na ktorú existuje, alebo má byť uskutočnená integrácia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Zdôvodnenie integrácie.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rPr>
          <w:rStyle w:val="Siln"/>
        </w:rPr>
        <w:t>Poznámka: tabuľka nie je relevantná, z</w:t>
      </w:r>
      <w:r>
        <w:rPr>
          <w:rStyle w:val="Siln"/>
        </w:rPr>
        <w:t xml:space="preserve"> dôvodu, že projekt predstavuje predovšetkým nákup HW a SW.</w:t>
      </w:r>
      <w:r>
        <w:rPr>
          <w:rStyle w:val="Siln"/>
          <w:color w:val="003366"/>
        </w:rPr>
        <w:t xml:space="preserve"> Projekt neobsahuje žiadne integrácie.</w: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(8) Aktuálny stav (Pr – Prevádzka, Vv - Vo výstavbe, Pl – Plánované)</w:t>
      </w:r>
    </w:p>
    <w:p w:rsidR="00000000" w:rsidRDefault="00F9725D">
      <w:pPr>
        <w:pStyle w:val="Normlnywebov"/>
      </w:pPr>
      <w:r>
        <w:t>(9) Budúci stav (N - Nový, Bz - Bez zmeny, Z - Zmen</w:t>
      </w:r>
      <w:r>
        <w:t>a, V – Vyradenie)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  <w:color w:val="003366"/>
        </w:rPr>
        <w:t>echnologické prostriedky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Platforma</w:t>
      </w:r>
    </w:p>
    <w:p w:rsidR="00000000" w:rsidRDefault="00F9725D">
      <w:pPr>
        <w:pStyle w:val="Normlnywebov"/>
      </w:pPr>
      <w:r>
        <w:rPr>
          <w:color w:val="003366"/>
        </w:rPr>
        <w:t>Príloha obsahuje platformy slúžiace na výstavbu, integráciu, prevádzku informačných systémov. Na jednej platforme môže byť v prevádzke niekoľko IS.</w:t>
      </w:r>
      <w:r>
        <w:br/>
      </w:r>
      <w:r>
        <w:rPr>
          <w:rStyle w:val="Zvraznenie"/>
          <w:color w:val="003366"/>
        </w:rPr>
        <w:t>Tabuľka 16 Platforma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4519"/>
        <w:gridCol w:w="3124"/>
        <w:gridCol w:w="367"/>
        <w:gridCol w:w="369"/>
      </w:tblGrid>
      <w:tr w:rsidR="00000000">
        <w:trPr>
          <w:divId w:val="9029110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Informačný systém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</w:p>
        </w:tc>
      </w:tr>
      <w:tr w:rsidR="00000000">
        <w:trPr>
          <w:divId w:val="90291104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 sieťové meno(FQDN).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informačného systému z prílohy Zoznam informačných systémov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rPr>
          <w:rStyle w:val="Siln"/>
        </w:rPr>
        <w:t>Poznámka: tabuľka nie je relevantná, z dôvodu, že pro</w:t>
      </w:r>
      <w:r>
        <w:rPr>
          <w:rStyle w:val="Siln"/>
        </w:rPr>
        <w:t>jekt predstavuje predovšetkým nákup HW a SW. </w:t>
      </w:r>
      <w:r>
        <w:rPr>
          <w:rStyle w:val="Siln"/>
          <w:color w:val="003366"/>
        </w:rPr>
        <w:t>Projekt neobsahuje žiadne platformy.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Platformový softvér</w:t>
      </w:r>
    </w:p>
    <w:p w:rsidR="00000000" w:rsidRDefault="00F9725D">
      <w:pPr>
        <w:pStyle w:val="Normlnywebov"/>
      </w:pPr>
      <w:r>
        <w:rPr>
          <w:color w:val="003366"/>
        </w:rPr>
        <w:t>Príloha obsahuje  softvérové licencie.</w:t>
      </w:r>
      <w:r>
        <w:br/>
      </w:r>
      <w:r>
        <w:rPr>
          <w:rStyle w:val="Zvraznenie"/>
          <w:color w:val="003366"/>
        </w:rPr>
        <w:t>Tabuľka 17 Platformový softvér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334"/>
        <w:gridCol w:w="740"/>
        <w:gridCol w:w="620"/>
        <w:gridCol w:w="1322"/>
        <w:gridCol w:w="940"/>
        <w:gridCol w:w="1683"/>
        <w:gridCol w:w="421"/>
        <w:gridCol w:w="423"/>
      </w:tblGrid>
      <w:tr w:rsidR="00000000">
        <w:trPr>
          <w:divId w:val="8775470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Verzia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Licenčný model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5" w:history="1">
              <w:r>
                <w:rPr>
                  <w:rStyle w:val="Hypertextovprepojenie"/>
                  <w:color w:val="003366"/>
                </w:rPr>
                <w:t>10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5" w:history="1">
              <w:r>
                <w:rPr>
                  <w:rStyle w:val="Hypertextovprepojenie"/>
                  <w:color w:val="003366"/>
                </w:rPr>
                <w:t>11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87754704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 sieťové meno(FQDN).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Procesorová licencia </w:t>
            </w:r>
            <w:r>
              <w:br/>
              <w:t xml:space="preserve">Na používateľa </w:t>
            </w:r>
            <w:r>
              <w:br/>
              <w:t>CAL</w:t>
            </w:r>
            <w:r>
              <w:br/>
              <w:t>...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pla</w:t>
            </w:r>
            <w:r>
              <w:t>tformy, do ktorej zaraďujeme daný SW z prílohy 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Výpočtové zdroje</w:t>
      </w:r>
    </w:p>
    <w:p w:rsidR="00000000" w:rsidRDefault="00F9725D">
      <w:pPr>
        <w:pStyle w:val="Normlnywebov"/>
      </w:pPr>
      <w:r>
        <w:rPr>
          <w:color w:val="003366"/>
        </w:rPr>
        <w:t>Príloha obsahuje  servre všetkých typov (virtuálne, fyzické).</w:t>
      </w:r>
      <w:r>
        <w:br/>
      </w:r>
      <w:r>
        <w:rPr>
          <w:rStyle w:val="Zvraznenie"/>
          <w:color w:val="003366"/>
        </w:rPr>
        <w:t>Tabuľka 18</w:t>
      </w:r>
      <w:r>
        <w:rPr>
          <w:color w:val="003366"/>
        </w:rPr>
        <w:t xml:space="preserve"> </w:t>
      </w:r>
      <w:r>
        <w:rPr>
          <w:rStyle w:val="Zvraznenie"/>
          <w:color w:val="003366"/>
        </w:rPr>
        <w:t>Výpočtové zdroje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23"/>
        <w:gridCol w:w="940"/>
        <w:gridCol w:w="620"/>
        <w:gridCol w:w="1394"/>
        <w:gridCol w:w="1100"/>
        <w:gridCol w:w="1073"/>
        <w:gridCol w:w="772"/>
        <w:gridCol w:w="914"/>
        <w:gridCol w:w="1127"/>
        <w:gridCol w:w="1114"/>
        <w:gridCol w:w="1100"/>
        <w:gridCol w:w="367"/>
        <w:gridCol w:w="369"/>
      </w:tblGrid>
      <w:tr w:rsidR="00000000">
        <w:trPr>
          <w:divId w:val="7133881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Virtualizácia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Pamäť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Lokálny diskový priestor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Spôsob pripojenia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Rok ukončenia životnosti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 xml:space="preserve">AS </w:t>
            </w:r>
            <w:r>
              <w:rPr>
                <w:color w:val="003366"/>
              </w:rPr>
              <w:t xml:space="preserve">( </w:t>
            </w:r>
            <w:hyperlink w:anchor="SU-su_119-ul5" w:history="1">
              <w:r>
                <w:rPr>
                  <w:rStyle w:val="Hypertextovprepojenie"/>
                  <w:color w:val="003366"/>
                </w:rPr>
                <w:t>10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 xml:space="preserve">BS </w:t>
            </w:r>
            <w:r>
              <w:rPr>
                <w:color w:val="003366"/>
              </w:rPr>
              <w:t xml:space="preserve">( </w:t>
            </w:r>
            <w:hyperlink w:anchor="SU-su_119-ul5" w:history="1">
              <w:r>
                <w:rPr>
                  <w:rStyle w:val="Hypertextovprepojenie"/>
                  <w:color w:val="003366"/>
                </w:rPr>
                <w:t>11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71338814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</w:t>
            </w:r>
            <w:r>
              <w:t>špecifický názov, alebo plnésieťovémeno 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Áno/Nie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x86,x64, SPARC, ...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Socket, jadrá, frekvencia (MHz) na server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GB na server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GB na server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Ethernet, FC, FCoE, ...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Rok, </w:t>
            </w:r>
            <w:r>
              <w:br/>
              <w:t>Dané výrobcom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platformy z prílohy 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(10) Aktuálny stav (Pr – Prevádzka, Vv - Vo výstavbe, Pl – Plánované)</w:t>
      </w:r>
    </w:p>
    <w:p w:rsidR="00000000" w:rsidRDefault="00F9725D">
      <w:pPr>
        <w:pStyle w:val="Normlnywebov"/>
      </w:pPr>
      <w:r>
        <w:t>(11) Budúci stav (N - Nový, Bz - Bez zmeny, Z - Zmena, V – Vyradenie)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Úložiská údajov</w:t>
      </w:r>
    </w:p>
    <w:p w:rsidR="00000000" w:rsidRDefault="00F9725D">
      <w:pPr>
        <w:pStyle w:val="Normlnywebov"/>
      </w:pPr>
      <w:r>
        <w:rPr>
          <w:color w:val="003366"/>
        </w:rPr>
        <w:t xml:space="preserve">Príloha obsahuje diskové polia, prípadne iné zariadenia plniace </w:t>
      </w:r>
      <w:r>
        <w:rPr>
          <w:color w:val="003366"/>
        </w:rPr>
        <w:t>úlohu úložiska údajov.</w:t>
      </w:r>
      <w:r>
        <w:br/>
      </w:r>
      <w:r>
        <w:rPr>
          <w:rStyle w:val="Zvraznenie"/>
          <w:color w:val="003366"/>
        </w:rPr>
        <w:t>Tabuľka 19 Úložiská údajov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467"/>
        <w:gridCol w:w="940"/>
        <w:gridCol w:w="620"/>
        <w:gridCol w:w="1421"/>
        <w:gridCol w:w="2606"/>
        <w:gridCol w:w="1091"/>
        <w:gridCol w:w="1487"/>
        <w:gridCol w:w="1020"/>
        <w:gridCol w:w="1114"/>
        <w:gridCol w:w="1100"/>
        <w:gridCol w:w="367"/>
        <w:gridCol w:w="369"/>
      </w:tblGrid>
      <w:tr w:rsidR="00000000">
        <w:trPr>
          <w:divId w:val="21024093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Redundancia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Spôsob pripojenia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Celková kapacita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Spotrebovaná kapacita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Ročný prírastok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Rok ukončenia životnosti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12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13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210240932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 sieťové meno(FQDN).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Raid level ()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iSCSI,FC,FCoE,... </w:t>
            </w:r>
            <w:r>
              <w:br/>
            </w:r>
            <w:r>
              <w:rPr>
                <w:rStyle w:val="Zvraznenie"/>
              </w:rPr>
              <w:t>Využívaný spôsob pripojenia (Nie vymenovanévšetkyspôsoby pripojenia udávané výrobcom)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Celková použiteľná kapacita v GB. </w:t>
            </w:r>
            <w:r>
              <w:br/>
            </w:r>
            <w:r>
              <w:rPr>
                <w:rStyle w:val="Zvraznenie"/>
              </w:rPr>
              <w:t>Nie RAW kapacita.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Spotrebovaná kapacita v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Za posledný rok v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platformy z prílohy 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Zálohovanie</w:t>
      </w:r>
    </w:p>
    <w:p w:rsidR="00000000" w:rsidRDefault="00F9725D">
      <w:pPr>
        <w:pStyle w:val="Normlnywebov"/>
      </w:pPr>
      <w:r>
        <w:rPr>
          <w:color w:val="003366"/>
        </w:rPr>
        <w:t>Príloha obsahuje </w:t>
      </w:r>
      <w:r>
        <w:rPr>
          <w:color w:val="003366"/>
        </w:rPr>
        <w:t>zariadenia slúžiace na vykonávanie záloh.</w:t>
      </w:r>
      <w:r>
        <w:br/>
      </w:r>
      <w:r>
        <w:rPr>
          <w:rStyle w:val="Zvraznenie"/>
          <w:color w:val="003366"/>
        </w:rPr>
        <w:t>Tabuľka 20 Zálohovanie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23"/>
        <w:gridCol w:w="940"/>
        <w:gridCol w:w="620"/>
        <w:gridCol w:w="680"/>
        <w:gridCol w:w="741"/>
        <w:gridCol w:w="1848"/>
        <w:gridCol w:w="941"/>
        <w:gridCol w:w="1487"/>
        <w:gridCol w:w="1020"/>
        <w:gridCol w:w="1114"/>
        <w:gridCol w:w="1100"/>
        <w:gridCol w:w="367"/>
        <w:gridCol w:w="369"/>
      </w:tblGrid>
      <w:tr w:rsidR="00000000">
        <w:trPr>
          <w:divId w:val="18799707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Spôsob pripojenia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Celková kapacita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Spotrebovaná kapacita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Ročný prírastok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Rok ukončenia životnosti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12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13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187997077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plnésieťovémeno 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Páska, disky, 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GB/h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iSCSI,FC,FCoE,... </w:t>
            </w:r>
            <w:r>
              <w:br/>
            </w:r>
            <w:r>
              <w:rPr>
                <w:rStyle w:val="Zvraznenie"/>
              </w:rPr>
              <w:t xml:space="preserve">Využívaný spôsob pripojenia (Nievymenované všetky </w:t>
            </w:r>
            <w:r>
              <w:rPr>
                <w:rStyle w:val="Zvraznenie"/>
              </w:rPr>
              <w:t>spôsoby pripojenia udávané výrobcom)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Celková kapacita v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Údaj v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Údaj v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platformy z prílohy 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adpis3"/>
        <w:rPr>
          <w:rFonts w:eastAsia="Times New Roman"/>
        </w:rPr>
      </w:pPr>
      <w:r>
        <w:rPr>
          <w:rStyle w:val="inline-comment-marker"/>
          <w:rFonts w:eastAsia="Times New Roman"/>
          <w:color w:val="003366"/>
        </w:rPr>
        <w:t>Komunikačná infraštruktúr</w:t>
      </w:r>
      <w:r>
        <w:rPr>
          <w:rStyle w:val="inline-comment-marker"/>
          <w:rFonts w:eastAsia="Times New Roman"/>
          <w:color w:val="003366"/>
        </w:rPr>
        <w:t>a</w:t>
      </w:r>
    </w:p>
    <w:p w:rsidR="00000000" w:rsidRDefault="00F9725D">
      <w:pPr>
        <w:pStyle w:val="Normlnywebov"/>
      </w:pPr>
      <w:r>
        <w:rPr>
          <w:color w:val="003366"/>
        </w:rPr>
        <w:t>Príloha obsahuje aktívne sieťové prvky dátového centra (Switche, Routre, Firewally, Loadbalancery, ... ).</w:t>
      </w:r>
      <w:r>
        <w:br/>
      </w:r>
      <w:r>
        <w:rPr>
          <w:rStyle w:val="Zvraznenie"/>
          <w:color w:val="003366"/>
        </w:rPr>
        <w:t>Tabuľka 21</w:t>
      </w:r>
      <w:r>
        <w:rPr>
          <w:color w:val="003366"/>
        </w:rPr>
        <w:t xml:space="preserve"> </w:t>
      </w:r>
      <w:r>
        <w:rPr>
          <w:rStyle w:val="Zvraznenie"/>
          <w:color w:val="003366"/>
        </w:rPr>
        <w:t>Komunikačná infraštruktúra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080"/>
        <w:gridCol w:w="1119"/>
        <w:gridCol w:w="620"/>
        <w:gridCol w:w="940"/>
        <w:gridCol w:w="1051"/>
        <w:gridCol w:w="856"/>
        <w:gridCol w:w="1118"/>
        <w:gridCol w:w="369"/>
        <w:gridCol w:w="371"/>
      </w:tblGrid>
      <w:tr w:rsidR="00000000">
        <w:trPr>
          <w:divId w:val="882249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Typ siete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Sieť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Rok ukončenia životnosti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12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6" w:history="1">
              <w:r>
                <w:rPr>
                  <w:rStyle w:val="Hypertextovprepojenie"/>
                  <w:color w:val="003366"/>
                </w:rPr>
                <w:t>13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882249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plnésieťové meno (FQDN). Uvádzajú sa aj zariadenia sprostredkovávajúce bezdrôtové pripojenie(WiFi AP).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Využívaný typ siete. </w:t>
            </w:r>
            <w:r>
              <w:br/>
              <w:t>100 Mb, 1 Gb, 10 Gb, 40 Gb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Typové označenie zariadenia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Lokálna sieť, MVnet, Govnet, FINnet, ...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*Komponenty, ktoré vlastníme teraz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rPr>
          <w:color w:val="003366"/>
        </w:rPr>
        <w:t>(12) Aktuálny stav (Pr – Prevádzka, Vv - Vo výstavbe, Pl – Plánované)</w:t>
      </w:r>
    </w:p>
    <w:p w:rsidR="00000000" w:rsidRDefault="00F9725D">
      <w:pPr>
        <w:pStyle w:val="Normlnywebov"/>
      </w:pPr>
      <w:r>
        <w:rPr>
          <w:color w:val="003366"/>
        </w:rPr>
        <w:t>(13) Budúci stav (N - Nový, Bz - Bez</w:t>
      </w:r>
      <w:r>
        <w:rPr>
          <w:color w:val="003366"/>
        </w:rPr>
        <w:t xml:space="preserve"> zmeny, Z - Zmena, V – Vyradenie)</w:t>
      </w:r>
    </w:p>
    <w:p w:rsidR="00000000" w:rsidRDefault="00F9725D">
      <w:pPr>
        <w:pStyle w:val="Normlnywebov"/>
      </w:pPr>
      <w:r>
        <w:rPr>
          <w:color w:val="003366"/>
        </w:rPr>
        <w:t>(14) </w:t>
      </w:r>
      <w:hyperlink r:id="rId5" w:history="1">
        <w:r>
          <w:rPr>
            <w:rStyle w:val="Hypertextovprepojenie"/>
            <w:color w:val="003366"/>
          </w:rPr>
          <w:t>http://en.wikipedia.org/wiki/Standard_RAID_levels</w:t>
        </w:r>
      </w:hyperlink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t xml:space="preserve"> 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Špeciálne technológie</w:t>
      </w:r>
    </w:p>
    <w:p w:rsidR="00000000" w:rsidRDefault="00F9725D">
      <w:pPr>
        <w:pStyle w:val="Normlnywebov"/>
      </w:pPr>
      <w:r>
        <w:rPr>
          <w:color w:val="003366"/>
        </w:rPr>
        <w:t>Príloha obsahuje  iné technologické prostriedky nezaradené v niektorom z vyš</w:t>
      </w:r>
      <w:r>
        <w:rPr>
          <w:color w:val="003366"/>
        </w:rPr>
        <w:t>šie uvedených zoznamov. HSM, zdroje presného času, špecifické boxy.</w:t>
      </w:r>
      <w:r>
        <w:br/>
      </w:r>
      <w:r>
        <w:rPr>
          <w:rStyle w:val="Zvraznenie"/>
          <w:color w:val="003366"/>
        </w:rPr>
        <w:t>Tabuľka 22 Špeciálne technológie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723"/>
        <w:gridCol w:w="1207"/>
        <w:gridCol w:w="620"/>
        <w:gridCol w:w="1046"/>
        <w:gridCol w:w="1046"/>
        <w:gridCol w:w="1114"/>
        <w:gridCol w:w="1634"/>
        <w:gridCol w:w="367"/>
        <w:gridCol w:w="369"/>
      </w:tblGrid>
      <w:tr w:rsidR="00000000">
        <w:trPr>
          <w:divId w:val="5158464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Spôsob použitia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Výrobca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Rok ukončenia životnosti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PlatformaISVS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7" w:history="1">
              <w:r>
                <w:rPr>
                  <w:rStyle w:val="Hypertextovprepojenie"/>
                  <w:color w:val="003366"/>
                </w:rPr>
                <w:t>15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7" w:history="1">
              <w:r>
                <w:rPr>
                  <w:rStyle w:val="Hypertextovprepojenie"/>
                  <w:color w:val="003366"/>
                </w:rPr>
                <w:t>16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5158464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Označenie ktoré je pridelené prostriedku. Môže sa jednať o špecifický názov, alebo plnésieťovémeno (FQDN).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Vysvetlenie využívania danej špeciálnej technológie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Výrobca zariadenia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Typové označenie zariadenia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ID platformy z prílohy Platforma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5158464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Style w:val="inline-comment-marker"/>
          <w:rFonts w:eastAsia="Times New Roman"/>
          <w:color w:val="003366"/>
        </w:rPr>
        <w:t>Dátové centrum - sál</w:t>
      </w:r>
      <w:r>
        <w:rPr>
          <w:rStyle w:val="inline-comment-marker"/>
          <w:rFonts w:eastAsia="Times New Roman"/>
          <w:color w:val="003366"/>
        </w:rPr>
        <w:t>a</w:t>
      </w:r>
    </w:p>
    <w:p w:rsidR="00000000" w:rsidRDefault="00F9725D">
      <w:pPr>
        <w:pStyle w:val="Normlnywebov"/>
      </w:pPr>
      <w:r>
        <w:rPr>
          <w:color w:val="003366"/>
        </w:rPr>
        <w:t xml:space="preserve">Príloha obsahuje  </w:t>
      </w:r>
      <w:r>
        <w:rPr>
          <w:color w:val="003366"/>
        </w:rPr>
        <w:t>miesta prevádzky aplikačných a technologických prostriedkov. Miesto je potrebné uviesť aj v prípade, že nemá parametre dátového centra, alebo sály (t.j. je to len obyčajná miestnosť, alebo kancelária).</w:t>
      </w:r>
      <w:r>
        <w:br/>
      </w:r>
      <w:r>
        <w:rPr>
          <w:rStyle w:val="Zvraznenie"/>
          <w:color w:val="003366"/>
        </w:rPr>
        <w:t>Tabuľka 23 Dátové centrum - sála</w:t>
      </w:r>
      <w:r>
        <w:rPr>
          <w:color w:val="003366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00"/>
        <w:gridCol w:w="4579"/>
        <w:gridCol w:w="927"/>
        <w:gridCol w:w="938"/>
        <w:gridCol w:w="940"/>
      </w:tblGrid>
      <w:tr w:rsidR="00000000">
        <w:trPr>
          <w:divId w:val="502477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MetaIS kód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Názov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Kon</w:t>
            </w:r>
            <w:r>
              <w:rPr>
                <w:rStyle w:val="Siln"/>
                <w:color w:val="003366"/>
              </w:rPr>
              <w:t>taktná osoba zodpovedná za dátovú sálu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Lokalita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AS</w:t>
            </w:r>
            <w:r>
              <w:rPr>
                <w:color w:val="003366"/>
              </w:rPr>
              <w:t xml:space="preserve"> ( </w:t>
            </w:r>
            <w:hyperlink w:anchor="SU-su_119-ul7" w:history="1">
              <w:r>
                <w:rPr>
                  <w:rStyle w:val="Hypertextovprepojenie"/>
                  <w:color w:val="003366"/>
                </w:rPr>
                <w:t>15</w:t>
              </w:r>
            </w:hyperlink>
            <w:r>
              <w:rPr>
                <w:color w:val="003366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  <w:color w:val="003366"/>
              </w:rPr>
              <w:t>BS</w:t>
            </w:r>
            <w:r>
              <w:rPr>
                <w:color w:val="003366"/>
              </w:rPr>
              <w:t xml:space="preserve"> ( </w:t>
            </w:r>
            <w:hyperlink w:anchor="SU-su_119-ul7" w:history="1">
              <w:r>
                <w:rPr>
                  <w:rStyle w:val="Hypertextovprepojenie"/>
                  <w:color w:val="003366"/>
                </w:rPr>
                <w:t>16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5024777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Titul, Meno a Priezvisko </w:t>
            </w:r>
            <w:r>
              <w:br/>
              <w:t>Telefón e-mail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Adresa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Implementácia a migrácia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Harmonogram projektu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24 Harmonogram projektu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426"/>
        <w:gridCol w:w="2258"/>
      </w:tblGrid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Aktivita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Dĺžka trvania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HP_X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Názov aktivity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Dĺžka trvania aktivity v mesiacoch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Aktivita 1: Analýza a dizajn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5 mesiacov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Aktivita 2: Nákup HW a krabicového softvéru - pre vybrané lok</w:t>
            </w:r>
            <w:r>
              <w:rPr>
                <w:rStyle w:val="Siln"/>
              </w:rPr>
              <w:t>ality siete Govnet (úvodná fáza nasadenia)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 mesiace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Aktivita 3: Implementácia - pre vybrané lokality siete Govnet (úvodná fáza nasadenia)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2 mesiace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Aktivita 4:</w:t>
            </w:r>
            <w:r>
              <w:rPr>
                <w:rFonts w:eastAsia="Times New Roman"/>
              </w:rPr>
              <w:t> </w:t>
            </w:r>
            <w:r>
              <w:rPr>
                <w:rStyle w:val="Siln"/>
                <w:rFonts w:eastAsia="Times New Roman"/>
              </w:rPr>
              <w:t>Nasadenie- pre vybrané lokality siete Govnet (úvodná fáza nasadenia)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 mesiac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Aktivita 5: Nákup HW a krabicového softvéru - pre zostávajúce lokality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 mesiace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HP_6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Aktivita 6: Implementácia - pre zostávajúce lokality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3 mesiace</w:t>
            </w:r>
          </w:p>
        </w:tc>
      </w:tr>
      <w:tr w:rsidR="00000000">
        <w:trPr>
          <w:divId w:val="18952651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HP_7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Style w:val="Siln"/>
                <w:rFonts w:eastAsia="Times New Roman"/>
              </w:rPr>
              <w:t>Aktivita 7: Nasadenie - pre zostávajúce lokality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mesiacov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br/>
        <w:t>(15) Aktuálny stav (Pr – Prevádzka, Vv - Vo výstavbe, Pl – Plánované)</w:t>
      </w:r>
    </w:p>
    <w:p w:rsidR="00000000" w:rsidRDefault="00F9725D">
      <w:pPr>
        <w:pStyle w:val="Normlnywebov"/>
      </w:pPr>
      <w:r>
        <w:t>(16) Budúci stav (N - Nový, Bz - Bez zmeny, Z - Zmena, V – Vyradenie)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Prevádzka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>Tabuľka 25 Kategórie technických problémov, vysvetlenie k nasledujúcim tabuľkám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</w:t>
      </w:r>
      <w:r>
        <w:rPr>
          <w:rStyle w:val="Zvraznenie"/>
          <w:color w:val="44546A"/>
        </w:rPr>
        <w:t>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442"/>
      </w:tblGrid>
      <w:tr w:rsidR="00000000">
        <w:trPr>
          <w:divId w:val="207828530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Kategória technického problému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Popis</w:t>
            </w:r>
          </w:p>
        </w:tc>
      </w:tr>
      <w:tr w:rsidR="00000000">
        <w:trPr>
          <w:divId w:val="207828530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 – kritická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Systém ako celok zlyhal a je mimo prevádzky. Nie je známe žiadne dočasné riešenie ani alternatíva, ktorá by viedla k opätovnému sprevádzkovaniu systému aspoň v obmedzenom stave.</w:t>
            </w:r>
          </w:p>
        </w:tc>
      </w:tr>
      <w:tr w:rsidR="00000000">
        <w:trPr>
          <w:divId w:val="207828530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 – vysoká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Systém má výrazne obmedzenú schopnosť prevádzky. Hlavné komponenty nefungujú a v prevádzke vykazujú vady. Kľúčová funkcionalita je obmedzená.</w:t>
            </w:r>
          </w:p>
        </w:tc>
      </w:tr>
      <w:tr w:rsidR="00000000">
        <w:trPr>
          <w:divId w:val="207828530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C - normálna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Systém vykazuje výpadok menej dôležitej funkcionality alebo komponentu, ktorý nemá kritický dopad na</w:t>
            </w:r>
            <w:r>
              <w:t xml:space="preserve"> užívateľov ale funkčnosť systému je obmedzená. Systém nespôsobuje trvalú stratu údajov alebo ich vážne poškodenie.</w:t>
            </w:r>
          </w:p>
        </w:tc>
      </w:tr>
    </w:tbl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Dodávateľská podpora</w:t>
      </w:r>
    </w:p>
    <w:p w:rsidR="00000000" w:rsidRDefault="00F9725D">
      <w:pPr>
        <w:pStyle w:val="Normlnywebov"/>
      </w:pPr>
      <w:r>
        <w:rPr>
          <w:rStyle w:val="Siln"/>
          <w:color w:val="003366"/>
        </w:rPr>
        <w:t>Pre popis aktuálneho stavu</w:t>
      </w:r>
      <w:r>
        <w:rPr>
          <w:color w:val="003366"/>
        </w:rPr>
        <w:t xml:space="preserve"> </w:t>
      </w:r>
      <w:r>
        <w:br/>
      </w:r>
      <w:r>
        <w:rPr>
          <w:color w:val="003366"/>
        </w:rPr>
        <w:t>Príloha obsahuje zoznam aktuálnych zmlúv o podpore párovaný na zoznam prostriedkov (ľubovo</w:t>
      </w:r>
      <w:r>
        <w:rPr>
          <w:color w:val="003366"/>
        </w:rPr>
        <w:t>ľná kombinácia aplikačných a technologických prostriedkov, tak ako je uvedená v zmluve), ktoré zabezpečujú dodávateľskú podporu prevádzky týchto prostriedkov. Tiež s uvedenou úrovňou poskytovania služieb.</w:t>
      </w:r>
      <w:r>
        <w:br/>
      </w:r>
      <w:r>
        <w:rPr>
          <w:rStyle w:val="Siln"/>
          <w:color w:val="003366"/>
        </w:rPr>
        <w:t>Pre popis budúceho stavu</w:t>
      </w:r>
      <w:r>
        <w:rPr>
          <w:color w:val="003366"/>
        </w:rPr>
        <w:t xml:space="preserve"> </w:t>
      </w:r>
      <w:r>
        <w:br/>
      </w:r>
      <w:r>
        <w:rPr>
          <w:color w:val="003366"/>
        </w:rPr>
        <w:t>Príloha obsahuje zoznam p</w:t>
      </w:r>
      <w:r>
        <w:rPr>
          <w:color w:val="003366"/>
        </w:rPr>
        <w:t>rostriedkov (vrátane služieb) a navrhovanou dodávateľskou podporou týchto prostriedkov. Tiež s uvedenou úrovňou poskytovania služieb. Pričom Identifikátor (názov) zmluvy, Dodávateľ nie sú povinné (môže sa vyskytnúť prípad, keď by napr. vplyvom zmluvných zá</w:t>
      </w:r>
      <w:r>
        <w:rPr>
          <w:color w:val="003366"/>
        </w:rPr>
        <w:t>väzkov, prešla podpora budúceho stavu na existujúceho dodávateľa). Celkové ročné výdavky musia byť zohľadnené v Ekonomickej analýze.</w:t>
      </w:r>
    </w:p>
    <w:p w:rsidR="00000000" w:rsidRDefault="00F9725D">
      <w:pPr>
        <w:pStyle w:val="Normlnywebov"/>
      </w:pPr>
      <w:r>
        <w:rPr>
          <w:rStyle w:val="Siln"/>
          <w:color w:val="003366"/>
        </w:rPr>
        <w:t>Level 1 (L1)</w:t>
      </w:r>
      <w:r>
        <w:rPr>
          <w:color w:val="003366"/>
        </w:rPr>
        <w:t> – úlohou prvej úrovne podpory je filtrácia a kategorizácia požiadaviek na HelpDesk a prvotná pomoc klientovi p</w:t>
      </w:r>
      <w:r>
        <w:rPr>
          <w:color w:val="003366"/>
        </w:rPr>
        <w:t>ri riešení základných problémov a smerovanie nevyriešených požiadaviek na ďalšie úrovne podpory (L2 a L3) . Prvá úroveň zbiera  a analyzuje informácie o používateľovi, posúva tieto informácie na ďalšie úrovne podpory a určuje najlepší možný spôsob vyriešen</w:t>
      </w:r>
      <w:r>
        <w:rPr>
          <w:color w:val="003366"/>
        </w:rPr>
        <w:t>ia hlásenia.</w:t>
      </w:r>
    </w:p>
    <w:p w:rsidR="00000000" w:rsidRDefault="00F9725D">
      <w:pPr>
        <w:pStyle w:val="Normlnywebov"/>
      </w:pPr>
      <w:r>
        <w:rPr>
          <w:color w:val="003366"/>
          <w:u w:val="single"/>
        </w:rPr>
        <w:t>Zodpovedný za L1 podporu: NASES</w:t>
      </w:r>
    </w:p>
    <w:p w:rsidR="00000000" w:rsidRDefault="00F9725D">
      <w:pPr>
        <w:pStyle w:val="Normlnywebov"/>
      </w:pPr>
      <w:r>
        <w:rPr>
          <w:rStyle w:val="Siln"/>
          <w:color w:val="003366"/>
        </w:rPr>
        <w:t>Level 2 (L2)</w:t>
      </w:r>
      <w:r>
        <w:rPr>
          <w:color w:val="003366"/>
        </w:rPr>
        <w:t> – úlohou druhej úrovne podpory je riešenie hlásenia na úrovni konfigurácie, inštalácii SW vybavenia a pomoci pri riešení HW problémoch, hlásenia neriešiteľné v tomto rozsahu sú posúvané na podporu ú</w:t>
      </w:r>
      <w:r>
        <w:rPr>
          <w:color w:val="003366"/>
        </w:rPr>
        <w:t>rovne L3. Riešenia ponúkané na úrovni L2 vychádzajú zo známych a dokumentovaných problémoch, na tejto úrovni by sa nemalo zdržiavať s hľadaním príčiny problémov a toto ponechať na úroveň L3.</w:t>
      </w:r>
    </w:p>
    <w:p w:rsidR="00000000" w:rsidRDefault="00F9725D">
      <w:pPr>
        <w:pStyle w:val="Normlnywebov"/>
      </w:pPr>
      <w:r>
        <w:rPr>
          <w:color w:val="003366"/>
          <w:u w:val="single"/>
        </w:rPr>
        <w:t>Zodpovedný za L2 podporu: NASES, čiastočne dodávateľ</w:t>
      </w:r>
    </w:p>
    <w:p w:rsidR="00000000" w:rsidRDefault="00F9725D">
      <w:pPr>
        <w:pStyle w:val="Normlnywebov"/>
      </w:pPr>
      <w:r>
        <w:rPr>
          <w:rStyle w:val="Siln"/>
          <w:color w:val="003366"/>
        </w:rPr>
        <w:t>Level 3 (L3)</w:t>
      </w:r>
      <w:r>
        <w:rPr>
          <w:color w:val="003366"/>
        </w:rPr>
        <w:t> – predmetom najnižšie uvažovanej úrovne podpory je riešenie problémov s konfiguráciou, opravy chýb na úrovni serverov, infraštruktúry a iných technických záležitostí spojených s dodaným riešením, za ktoré zodpovedá dodávateľ riešenia. Problémy technického</w:t>
      </w:r>
      <w:r>
        <w:rPr>
          <w:color w:val="003366"/>
        </w:rPr>
        <w:t xml:space="preserve"> charakteru na úrovni infraštruktúry dátového centra rieši Help Desk Dátového centra, tieto však musia prejsť analýzou dodávateľa riešenia, aby sa vylúčila chyba na aplikačnej úrovni.</w:t>
      </w:r>
    </w:p>
    <w:p w:rsidR="00000000" w:rsidRDefault="00F9725D">
      <w:pPr>
        <w:pStyle w:val="Normlnywebov"/>
      </w:pPr>
      <w:r>
        <w:rPr>
          <w:color w:val="003366"/>
          <w:u w:val="single"/>
        </w:rPr>
        <w:t>Zodpovedný za L3 podporu: Dodávateľ</w:t>
      </w:r>
    </w:p>
    <w:p w:rsidR="00000000" w:rsidRDefault="00F9725D">
      <w:pPr>
        <w:pStyle w:val="Normlnywebov"/>
      </w:pPr>
      <w:r>
        <w:br/>
      </w:r>
      <w:r>
        <w:rPr>
          <w:rStyle w:val="Zvraznenie"/>
          <w:color w:val="44546A"/>
        </w:rPr>
        <w:t>Tabuľka 26 Dodávateľská podpora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p w:rsidR="00000000" w:rsidRDefault="00F9725D">
      <w:pPr>
        <w:pStyle w:val="Normlnywebov"/>
      </w:pPr>
      <w:r>
        <w:rPr>
          <w:color w:val="44546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203"/>
        <w:gridCol w:w="1427"/>
        <w:gridCol w:w="1310"/>
        <w:gridCol w:w="123"/>
        <w:gridCol w:w="881"/>
        <w:gridCol w:w="1191"/>
        <w:gridCol w:w="123"/>
        <w:gridCol w:w="1440"/>
      </w:tblGrid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Identifikátor (názov) zmluvy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Dodávateľ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Platnosť od-do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Celkové ročné výdavky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Identifikátory prostriedkov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PP_1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Zmluva o poskytnutí verejných služieb</w:t>
            </w:r>
            <w:r>
              <w:t xml:space="preserve"> č. </w:t>
            </w:r>
            <w:r>
              <w:rPr>
                <w:rStyle w:val="Siln"/>
              </w:rPr>
              <w:t>4/5407/2016/NASES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BENESTRA, s.r.o., SWAN, a.s.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28.10.2016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IS_00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Číslo zmluvy bude doplnené po podpisu zmluvy.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Dodávateľ bude doplnený po podpisu zmluvy.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Úroveň poskytovania služby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Hodnota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Poskytovaná úroveň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L1,L2,L3 ( </w:t>
            </w:r>
            <w:hyperlink r:id="rId6" w:anchor="SU-su_119-ul8" w:history="1">
              <w:r>
                <w:rPr>
                  <w:rStyle w:val="Hypertextovprepojenie"/>
                </w:rPr>
                <w:t>17</w:t>
              </w:r>
            </w:hyperlink>
            <w:r>
              <w:t xml:space="preserve"> )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Forma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Telefonická, email, ServiceDesk, Podpora priamo na mieste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redundancie prostriedkov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geo-cluster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Spôsob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diferenčné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Rozsah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vybrané údaje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Doba zotavenia (RTO) ( </w:t>
            </w:r>
            <w:hyperlink r:id="rId7" w:anchor="SU-su_119-ul8" w:history="1">
              <w:r>
                <w:rPr>
                  <w:rStyle w:val="Hypertextovprepojenie"/>
                </w:rPr>
                <w:t>18</w:t>
              </w:r>
            </w:hyperlink>
            <w:r>
              <w:t xml:space="preserve"> 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N/A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RPO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N/A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záloha pravidelne validovaná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Miera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90% - 99.999%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miera dostupnosti monitorovaná a vyhodnocovaná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Stanovená zmluvná pokuta pri nedodržaní miery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N/A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Časové okno plánovaných výpadkov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Ad hoc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Bezplatné aktualizácie súčasťou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Áno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Interval pravidelnej údržby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Ad hoc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Reakčná doba v pracovnej dobe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Reakčná doba mimo prac. dobu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Dodanie opravy v pracovnej dobe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Dodanie opravy mimo prac. dobu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4 - 8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4 - 8 hod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 hod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C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 hod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8206633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F9725D">
      <w:pPr>
        <w:pStyle w:val="Normlnywebov"/>
      </w:pPr>
      <w:r>
        <w:rPr>
          <w:color w:val="44546A"/>
        </w:rPr>
        <w:t> </w: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rPr>
          <w:color w:val="44546A"/>
        </w:rPr>
        <w:t> </w:t>
      </w:r>
    </w:p>
    <w:p w:rsidR="00000000" w:rsidRDefault="00F9725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rPr>
          <w:color w:val="44546A"/>
        </w:rPr>
        <w:t> </w:t>
      </w:r>
    </w:p>
    <w:p w:rsidR="00000000" w:rsidRDefault="00F9725D">
      <w:pPr>
        <w:pStyle w:val="Normlnywebov"/>
      </w:pPr>
      <w:r>
        <w:t>(17) </w:t>
      </w:r>
      <w:hyperlink r:id="rId8" w:anchor="Multi-tiered_technical_support" w:history="1">
        <w:r>
          <w:rPr>
            <w:rStyle w:val="Hypertextovprepojenie"/>
          </w:rPr>
          <w:t>http://en.wikipedia.org/wiki/Technical_support#Multi-tiered_technical_support</w:t>
        </w:r>
      </w:hyperlink>
    </w:p>
    <w:p w:rsidR="00000000" w:rsidRDefault="00F9725D">
      <w:pPr>
        <w:pStyle w:val="Normlnywebov"/>
      </w:pPr>
      <w:r>
        <w:rPr>
          <w:rStyle w:val="Zvraznenie"/>
          <w:color w:val="44546A"/>
        </w:rPr>
        <w:t>(18) </w:t>
      </w:r>
      <w:hyperlink r:id="rId9" w:history="1">
        <w:r>
          <w:rPr>
            <w:rStyle w:val="Hypertextovprepojenie"/>
            <w:i/>
            <w:iCs/>
          </w:rPr>
          <w:t>http://en.wikipedia.org/wiki/Recovery_time_objective</w:t>
        </w:r>
      </w:hyperlink>
    </w:p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(17) </w:t>
      </w:r>
      <w:hyperlink r:id="rId10" w:anchor="Multi-tiered_technical_support" w:history="1">
        <w:r>
          <w:rPr>
            <w:rStyle w:val="Hypertextovprepojenie"/>
          </w:rPr>
          <w:t>http://en.wikipedia.org/wiki/Technical_support#Multi-tiered_technical_support</w:t>
        </w:r>
      </w:hyperlink>
    </w:p>
    <w:p w:rsidR="00000000" w:rsidRDefault="00F9725D">
      <w:pPr>
        <w:pStyle w:val="Normlnywebov"/>
      </w:pPr>
      <w:r>
        <w:t>(18) </w:t>
      </w:r>
      <w:hyperlink r:id="rId11" w:history="1">
        <w:r>
          <w:rPr>
            <w:rStyle w:val="Hypertextovprepojenie"/>
          </w:rPr>
          <w:t>http://en.wikipedia.org/wiki/Recovery_time_objective</w:t>
        </w:r>
      </w:hyperlink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0000"/>
        </w:rPr>
        <w:t>Podpora vlastnými zdrojmi</w:t>
      </w:r>
    </w:p>
    <w:p w:rsidR="00000000" w:rsidRDefault="00F9725D">
      <w:pPr>
        <w:pStyle w:val="Normlnywebov"/>
      </w:pPr>
      <w:r>
        <w:rPr>
          <w:rStyle w:val="Siln"/>
          <w:color w:val="000000"/>
        </w:rPr>
        <w:t>Pre popis aktuálneho stavu</w:t>
      </w:r>
      <w:r>
        <w:rPr>
          <w:color w:val="000000"/>
        </w:rPr>
        <w:t xml:space="preserve"> </w:t>
      </w:r>
    </w:p>
    <w:p w:rsidR="00000000" w:rsidRDefault="00F9725D">
      <w:pPr>
        <w:pStyle w:val="Normlnywebov"/>
      </w:pPr>
      <w:r>
        <w:t>Správcom systémov je ÚV SR, ktorý poverí prostredníctvom napr. Dohody o prevádzk</w:t>
      </w:r>
      <w:r>
        <w:t>ovaní alebo inou formou prevádzkovaním systému NASES.</w:t>
      </w:r>
    </w:p>
    <w:p w:rsidR="00000000" w:rsidRDefault="00F9725D">
      <w:pPr>
        <w:pStyle w:val="Normlnywebov"/>
      </w:pPr>
      <w:r>
        <w:t>Prevádzkovateľ riadi procesy prevádzky vychádzajúc s ISO/IEC 20000 a metodiky ITIL.</w:t>
      </w:r>
    </w:p>
    <w:p w:rsidR="00000000" w:rsidRDefault="00F9725D">
      <w:pPr>
        <w:pStyle w:val="Normlnywebov"/>
      </w:pPr>
      <w:r>
        <w:br/>
      </w:r>
      <w:r>
        <w:rPr>
          <w:rStyle w:val="Siln"/>
          <w:color w:val="003366"/>
        </w:rPr>
        <w:t>Pre popis budúceho stavu</w:t>
      </w:r>
      <w:r>
        <w:rPr>
          <w:color w:val="003366"/>
        </w:rPr>
        <w:t xml:space="preserve">  </w:t>
      </w:r>
    </w:p>
    <w:p w:rsidR="00000000" w:rsidRDefault="00F9725D">
      <w:pPr>
        <w:pStyle w:val="Normlnywebov"/>
      </w:pPr>
      <w:r>
        <w:rPr>
          <w:color w:val="003366"/>
        </w:rPr>
        <w:t>Príloha obsahuje zoznam prostriedkov (vrátane služieb) a navrhovanou podporou týchto prost</w:t>
      </w:r>
      <w:r>
        <w:rPr>
          <w:color w:val="003366"/>
        </w:rPr>
        <w:t>riedkov vlastnými zdrojmi organizácie. Tiež s uvedenou úrovňou poskytovania služieb. Počet pracovníkov je povinný údaj, a má hovoriť o organizačnom dopade. Celkové ročné výdavky musia byť zohľadnené v Ekonomickej analýze.</w:t>
      </w:r>
    </w:p>
    <w:p w:rsidR="00000000" w:rsidRDefault="00F9725D">
      <w:pPr>
        <w:pStyle w:val="Normlnywebov"/>
      </w:pPr>
      <w:r>
        <w:rPr>
          <w:color w:val="000000"/>
        </w:rPr>
        <w:t>Budúcim vlastníkom siete GOVNET bu</w:t>
      </w:r>
      <w:r>
        <w:rPr>
          <w:color w:val="000000"/>
        </w:rPr>
        <w:t>de ÚV SR, ktorý poverí prostredníctvom napr. Dohody o prevádzkovaní alebo inou formou prevádzkovaním systému NASES. Prevádzkovateľ riadi procesy prevádzky vychádzajúc s ISO/IEC 20000 a metodiky ITIL.</w:t>
      </w:r>
    </w:p>
    <w:p w:rsidR="00000000" w:rsidRDefault="00F9725D">
      <w:pPr>
        <w:pStyle w:val="Normlnywebov"/>
      </w:pPr>
      <w:r>
        <w:t>Prevádzka zabezpečuje najmä: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úrovne IT služieb,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kapacity,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kontinuity služieb,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dostupnosti IT služieb,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Podpora IT služieb (service desk),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Správa incidentov,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Správa problémov,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zmien,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Správa konfigurácií,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Riadenie vydaní,</w:t>
      </w:r>
    </w:p>
    <w:p w:rsidR="00000000" w:rsidRDefault="00F9725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Správa infraštruktúry</w:t>
      </w:r>
    </w:p>
    <w:p w:rsidR="00000000" w:rsidRDefault="00F9725D">
      <w:pPr>
        <w:pStyle w:val="Normlnywebov"/>
      </w:pPr>
      <w:r>
        <w:t>Zabezpečenie prevádzky sys</w:t>
      </w:r>
      <w:r>
        <w:t>tému bude vyžadovať obsadenie základných rolí na úrovni prevádzkovateľa ako sú: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hlavný administrátor systému,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 pre riadenie rolí a prístupov,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 pre riadenie obsahu aplikácií,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pracovníka pre riadenie infraštruktúry,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pracovníka pre riadenie incidentov,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pracovníka pre podporu na úrovni HelpDesk,</w:t>
      </w:r>
    </w:p>
    <w:p w:rsidR="00000000" w:rsidRDefault="00F9725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pracovníka pre monitoring a pod.</w:t>
      </w:r>
    </w:p>
    <w:p w:rsidR="00000000" w:rsidRDefault="00F9725D">
      <w:pPr>
        <w:pStyle w:val="Normlnywebov"/>
      </w:pPr>
      <w:r>
        <w:br/>
      </w:r>
      <w:r>
        <w:rPr>
          <w:rStyle w:val="Zvraznenie"/>
          <w:color w:val="44546A"/>
        </w:rPr>
        <w:t>Tabuľka 27 Podpora</w:t>
      </w:r>
      <w:r>
        <w:rPr>
          <w:color w:val="44546A"/>
        </w:rPr>
        <w:t xml:space="preserve"> </w:t>
      </w:r>
      <w:r>
        <w:rPr>
          <w:rStyle w:val="Zvraznenie"/>
          <w:color w:val="44546A"/>
        </w:rPr>
        <w:t>vlastnými zdrojmi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688"/>
        <w:gridCol w:w="1411"/>
        <w:gridCol w:w="1472"/>
        <w:gridCol w:w="30"/>
        <w:gridCol w:w="1224"/>
        <w:gridCol w:w="1636"/>
        <w:gridCol w:w="1208"/>
        <w:gridCol w:w="81"/>
      </w:tblGrid>
      <w:tr w:rsidR="00000000">
        <w:trPr>
          <w:divId w:val="18418918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Organizačná zložka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Počet pracovníkov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Lokalita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Celkové ročné výdavky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Ident</w:t>
            </w:r>
            <w:r>
              <w:rPr>
                <w:rStyle w:val="Siln"/>
              </w:rPr>
              <w:t>ifikátory prostriedkov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PP_2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NASES - </w:t>
            </w:r>
            <w:r>
              <w:rPr>
                <w:color w:val="000000"/>
              </w:rPr>
              <w:t>Sekcia prevádzky infraštruktúry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Trnavská cesta 100/II, Bratislava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91 880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Zoznam bude definovaný zmluvným vzťahom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Úroveň poskytovania služby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Hodnota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Poskytovaná úroveň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 xml:space="preserve">L1,L2,L3 ( </w:t>
            </w:r>
            <w:hyperlink w:anchor="SU-su_119-ul9" w:history="1">
              <w:r>
                <w:rPr>
                  <w:rStyle w:val="Hypertextovprepojenie"/>
                  <w:color w:val="003366"/>
                </w:rPr>
                <w:t>19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Forma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Telefonická, email, ServiceDesk, Podpora priamo na mieste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redundancie prostriedkov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geo-cluster, redundantné, neredundantné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Spôsob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diferenčné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Rozsah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vybrané údaje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Doba zotavenia (RTO)( </w:t>
            </w:r>
            <w:hyperlink w:anchor="SU-su_119-ul9" w:history="1">
              <w:r>
                <w:rPr>
                  <w:rStyle w:val="Hypertextovprepojenie"/>
                </w:rPr>
                <w:t>20</w:t>
              </w:r>
            </w:hyperlink>
            <w:r>
              <w:t xml:space="preserve"> 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N/A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záloha pravidelne validovaná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Miera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90% - 99.999%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miera dostupnosti monitorovaná a vyhodnocovaná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Stanovená zmluvná pokuta pri nedodržaní miery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Nie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Časové okno plánovaných výpadkov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Ad hoc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Bezplatné aktualizácie súčasťou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Interval pravidelnej údržby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Ad hoc</w:t>
            </w: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Reakčná doba v pracovnej dobe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Reakčná doba mimo prac. dobu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Dodanie opravy v pracovnej dobe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Dodanie opravy mimo prac. dobu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4 - 8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4 - 8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1891873"/>
          <w:cantSplit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F9725D"/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t>(19) </w:t>
      </w:r>
      <w:hyperlink r:id="rId12" w:anchor="Multi-tiered_technical_support" w:history="1">
        <w:r>
          <w:rPr>
            <w:rStyle w:val="Hypertextovprepojenie"/>
          </w:rPr>
          <w:t>http://en.wikipedia.org/wiki/Technical_support#Multi-tiered_technical_support</w:t>
        </w:r>
      </w:hyperlink>
    </w:p>
    <w:p w:rsidR="00000000" w:rsidRDefault="00F9725D">
      <w:pPr>
        <w:pStyle w:val="Normlnywebov"/>
      </w:pPr>
      <w:r>
        <w:t>(20) </w:t>
      </w:r>
      <w:hyperlink r:id="rId13" w:history="1">
        <w:r>
          <w:rPr>
            <w:rStyle w:val="Hypertextovprepojenie"/>
          </w:rPr>
          <w:t>http://en.wikipedia.org/wiki/Recovery_time_objective</w:t>
        </w:r>
      </w:hyperlink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  <w:color w:val="003366"/>
        </w:rPr>
        <w:t>Prostriedky v prenájme</w:t>
      </w:r>
    </w:p>
    <w:p w:rsidR="00000000" w:rsidRDefault="00F9725D">
      <w:pPr>
        <w:pStyle w:val="Normlnywebov"/>
      </w:pPr>
      <w:r>
        <w:rPr>
          <w:rStyle w:val="Siln"/>
          <w:color w:val="003366"/>
        </w:rPr>
        <w:t>Pre popis aktuálneho stavu</w:t>
      </w:r>
      <w:r>
        <w:rPr>
          <w:color w:val="003366"/>
        </w:rPr>
        <w:t xml:space="preserve"> </w:t>
      </w:r>
      <w:r>
        <w:br/>
      </w:r>
      <w:r>
        <w:rPr>
          <w:color w:val="003366"/>
        </w:rPr>
        <w:t>Príloha obsahuje zoznam aktuálnych zmlúv o prenájme párovaný na zoznam prostriedkov (ľubovoľná kombinácia aplikačn</w:t>
      </w:r>
      <w:r>
        <w:rPr>
          <w:color w:val="003366"/>
        </w:rPr>
        <w:t>ých a technologických prostriedkov, tak ako je uvedená v zmluve). Pre prostriedky, ktoré organizácia nevlastní, ale využíva ich formou prenájmu. Tiež s uvedenou úrovňou poskytovania služieb.</w:t>
      </w:r>
      <w:r>
        <w:br/>
      </w:r>
      <w:r>
        <w:rPr>
          <w:rStyle w:val="Siln"/>
          <w:color w:val="003366"/>
        </w:rPr>
        <w:t>Pre popis budúceho stavu</w:t>
      </w:r>
      <w:r>
        <w:rPr>
          <w:color w:val="003366"/>
        </w:rPr>
        <w:t xml:space="preserve"> </w:t>
      </w:r>
      <w:r>
        <w:br/>
      </w:r>
      <w:r>
        <w:rPr>
          <w:color w:val="003366"/>
        </w:rPr>
        <w:t>Príloha obsahuje zoznam prostriedkov (v</w:t>
      </w:r>
      <w:r>
        <w:rPr>
          <w:color w:val="003366"/>
        </w:rPr>
        <w:t>rátane služieb) a navrhovaným prenájmom. Tiež s uvedenou úrovňou poskytovania služieb. Pričom Identifikátor (názov) zmluvy, Poskytovateľ nie sú povinné (môže sa vyskytnúť prípad, keď by napr. vplyvom zmluvných záväzkov, prešla podpora budúceho stavu na exi</w:t>
      </w:r>
      <w:r>
        <w:rPr>
          <w:color w:val="003366"/>
        </w:rPr>
        <w:t xml:space="preserve">stujúceho Poskytovateľa). Celkové ročné výdavky musia byť zohľadnené v Ekonomickej analýze. </w:t>
      </w:r>
      <w:r>
        <w:br/>
      </w:r>
      <w:r>
        <w:rPr>
          <w:rStyle w:val="Zvraznenie"/>
          <w:color w:val="44546A"/>
        </w:rPr>
        <w:t>Tabuľka 28 Prostriedky v prenájme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201"/>
        <w:gridCol w:w="1449"/>
        <w:gridCol w:w="1227"/>
        <w:gridCol w:w="30"/>
        <w:gridCol w:w="902"/>
        <w:gridCol w:w="1200"/>
        <w:gridCol w:w="30"/>
        <w:gridCol w:w="1659"/>
      </w:tblGrid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Identifikátor (názov) zmluvy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Poskytovateľ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Platnosť prenájmu od-do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Celkové ročné výdavky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Identifikátory prostriedkov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PP_X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Zmluva o poskytnutí verejných služieb</w:t>
            </w:r>
            <w:r>
              <w:rPr>
                <w:color w:val="003366"/>
              </w:rPr>
              <w:t xml:space="preserve"> č. </w:t>
            </w:r>
            <w:r>
              <w:rPr>
                <w:rStyle w:val="Siln"/>
              </w:rPr>
              <w:t>4/5407/2016/NASES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454545"/>
              </w:rPr>
              <w:t>BENESTRA, s.r.o.</w:t>
            </w:r>
            <w:r>
              <w:rPr>
                <w:color w:val="003366"/>
              </w:rPr>
              <w:t>, SWAN, a.s.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28.10.2016 –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Aplikačné a technologické prostriedky v danom zmluvnom vzťahu</w:t>
            </w:r>
          </w:p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Úroveň poskytovania služby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Hodnota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Poskytovaná úroveň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 xml:space="preserve">L1,L2,L3 ( </w:t>
            </w:r>
            <w:hyperlink w:anchor="SU-su_119-ul10" w:history="1">
              <w:r>
                <w:rPr>
                  <w:rStyle w:val="Hypertextovprepojenie"/>
                  <w:color w:val="003366"/>
                </w:rPr>
                <w:t>21</w:t>
              </w:r>
            </w:hyperlink>
            <w:r>
              <w:rPr>
                <w:color w:val="003366"/>
              </w:rPr>
              <w:t xml:space="preserve"> )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Forma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Telefonická, email, ServiceDesk, Podpora priamo na mieste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redundancie prostriedkov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geo-cluster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Spôsob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diferenčné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Rozsah zálohovania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vybrané údaje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Doba zotavenia (RTO) ( </w:t>
            </w:r>
            <w:hyperlink w:anchor="SU-su_119-ul10" w:history="1">
              <w:r>
                <w:rPr>
                  <w:rStyle w:val="Hypertextovprepojenie"/>
                </w:rPr>
                <w:t>22</w:t>
              </w:r>
            </w:hyperlink>
            <w:r>
              <w:t xml:space="preserve"> 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N/A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záloha pravidelne validovaná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Miera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90% - 99.999%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Je miera dostupnosti monitorovaná a vyhodnocovaná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Stanovená zmluvná pokuta pri nedodržaní miery dostupnosti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N/A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Časové okno plánovaných výpadkov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Ad hoc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Bezplatné aktualizácie súčasťou podpory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Áno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Interval pravidelnej údržby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Ad hoc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Reakčná doba v pracovnej dobe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Reakčná doba mimo prac. dobu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Dodanie opravy v pracovnej dobe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Dodanie opravy mimo prac. dobu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4 - 8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4 - 8 hod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B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hod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Riešenie problému kategórie C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1 hod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color w:val="003366"/>
              </w:rPr>
              <w:t>4 hod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  <w:color w:val="003366"/>
              </w:rPr>
              <w:t>4 hod</w:t>
            </w:r>
          </w:p>
        </w:tc>
      </w:tr>
      <w:tr w:rsidR="00000000">
        <w:trPr>
          <w:divId w:val="174282290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ormlnywebov"/>
      </w:pPr>
      <w:r>
        <w:t>(21) </w:t>
      </w:r>
      <w:hyperlink r:id="rId14" w:anchor="Multi-tiered_technical_support" w:history="1">
        <w:r>
          <w:rPr>
            <w:rStyle w:val="Hypertextovprepojenie"/>
          </w:rPr>
          <w:t>http://en.wikipedia.org/wiki/Technical_support#Multi-tiered_technical_support</w:t>
        </w:r>
      </w:hyperlink>
    </w:p>
    <w:p w:rsidR="00000000" w:rsidRDefault="00F9725D">
      <w:pPr>
        <w:pStyle w:val="Normlnywebov"/>
      </w:pPr>
      <w:r>
        <w:t>(22) </w:t>
      </w:r>
      <w:hyperlink r:id="rId15" w:history="1">
        <w:r>
          <w:rPr>
            <w:rStyle w:val="Hypertextovprepojenie"/>
          </w:rPr>
          <w:t>http://en.wikipedia.org/wiki/Recovery_time_objective</w:t>
        </w:r>
      </w:hyperlink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Ekonomická analýza ( </w:t>
      </w:r>
      <w:hyperlink w:anchor="SU-su_119-ul11" w:history="1">
        <w:r>
          <w:rPr>
            <w:rStyle w:val="Hypertextovprepojenie"/>
            <w:rFonts w:eastAsia="Times New Roman"/>
          </w:rPr>
          <w:t>23</w:t>
        </w:r>
      </w:hyperlink>
      <w:r>
        <w:rPr>
          <w:rFonts w:eastAsia="Times New Roman"/>
        </w:rPr>
        <w:t xml:space="preserve"> )</w:t>
      </w:r>
    </w:p>
    <w:p w:rsidR="00000000" w:rsidRDefault="00F9725D">
      <w:pPr>
        <w:pStyle w:val="Normlnywebov"/>
      </w:pPr>
      <w:r>
        <w:t>Ďalšie prílohy pre uskutočnenie finančnej, ekonomickej analýzy a analýz</w:t>
      </w:r>
      <w:r>
        <w:t>y citlivosti sa nachádzajú v prílohe materiálu „Metodický pokyn k vypracovaniu finančnej analýzy projektu, analýzy nákladov a prínosov projektu a finančnej analýzy žiadateľa o NFP v programovom období 2014 – 2020. 2015".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Podmienky udržateľnosti</w:t>
      </w:r>
    </w:p>
    <w:p w:rsidR="00000000" w:rsidRDefault="00F9725D">
      <w:pPr>
        <w:pStyle w:val="Normlnywebov"/>
      </w:pPr>
      <w:r>
        <w:rPr>
          <w:rStyle w:val="Zvraznenie"/>
          <w:color w:val="44546A"/>
        </w:rPr>
        <w:t xml:space="preserve">Tabuľka 29 </w:t>
      </w:r>
      <w:r>
        <w:rPr>
          <w:rStyle w:val="Zvraznenie"/>
          <w:color w:val="44546A"/>
        </w:rPr>
        <w:t>Podmienky udržateľnosti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593"/>
        <w:gridCol w:w="6145"/>
      </w:tblGrid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Podmienka udržateľnosti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Popis / zdôvodnenie</w:t>
            </w:r>
          </w:p>
        </w:tc>
      </w:tr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PU_1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Implementácia zvolenej alternatívy podľa ŠU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 udržateľnosť projektu a napĺňanie plánovaných prínosov je dôležité dodržanie nastaveného harmonogramu a implementovanie všetkých uvedených výstupov pri neustálom dohľade zainteresovaných osôb.</w:t>
            </w:r>
          </w:p>
        </w:tc>
      </w:tr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PU_2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Politická stabilita v oblasti kompetencií riadenia in</w:t>
            </w:r>
            <w:r>
              <w:rPr>
                <w:rFonts w:eastAsia="Times New Roman"/>
              </w:rPr>
              <w:t>formatizácie VS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Politické zmeny často spôsobujú zastavenie implementácie už schválených riešení, resp. prehodnotenie prevádzkovania už nasadených riešení, bez validácie tejto zmeny medzi kľúčovými zainteresovanými osobami</w:t>
            </w:r>
          </w:p>
        </w:tc>
      </w:tr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PU_3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Dostupnosť kvalifikovaných z</w:t>
            </w:r>
            <w:r>
              <w:rPr>
                <w:rFonts w:eastAsia="Times New Roman"/>
              </w:rPr>
              <w:t>amestnancov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 dostatok kvalifikovaných zamestnancov zabezpečujúcich podporu, potrebnú komunikáciu, aktualizáciu dokumentácie, školenia a pod. umožní dlhodobo udržiavať navrhované riešenie.</w:t>
            </w:r>
          </w:p>
        </w:tc>
      </w:tr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PU_4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Dostupnosť a rozvoj služieb vládneho cloudu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Udržateľnosť pr</w:t>
            </w:r>
            <w:r>
              <w:rPr>
                <w:rFonts w:eastAsia="Times New Roman"/>
              </w:rPr>
              <w:t>ojektu postavenom na využití služieb vládneho cloudu môže byť ohrozená nestabilitou prostredia, absenciou pracovných postupov, nedostatkom kvalifikovaných zamestnancov zabezpečujúcich služby vládneho cloudu a pod.</w:t>
            </w:r>
          </w:p>
        </w:tc>
      </w:tr>
      <w:tr w:rsidR="00000000">
        <w:trPr>
          <w:divId w:val="71003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PU_5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Financovanie prevádzky riešenia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Financovanie prevádzky riešenia - pri zohľadnení relevantných kvantitatívnych a kvalitatívnych prínosov pre celú spoločnosť, musí byť predmetom dôsledného plánovania rozpočtu.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pStyle w:val="Nadpis3"/>
        <w:rPr>
          <w:rFonts w:eastAsia="Times New Roman"/>
        </w:rPr>
      </w:pPr>
      <w:r>
        <w:rPr>
          <w:rFonts w:eastAsia="Times New Roman"/>
        </w:rPr>
        <w:t>Analýza citlivosti</w:t>
      </w:r>
    </w:p>
    <w:p w:rsidR="00000000" w:rsidRDefault="00F9725D">
      <w:pPr>
        <w:pStyle w:val="Normlnywebov"/>
      </w:pPr>
      <w:r>
        <w:t xml:space="preserve">V analýze citlivosti, sa určujú „kritické" premenné alebo </w:t>
      </w:r>
      <w:r>
        <w:t>parametre modelu (t. j. tie, ktorých pozitívne alebo negatívne odchýlky majú najväčší vplyv na ukazovatele výkonnosti daného projektu)</w:t>
      </w:r>
      <w:r>
        <w:br/>
      </w:r>
      <w:r>
        <w:rPr>
          <w:rStyle w:val="Zvraznenie"/>
          <w:color w:val="44546A"/>
        </w:rPr>
        <w:t>Tabuľka 30 Kritické premenné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587"/>
        <w:gridCol w:w="4071"/>
      </w:tblGrid>
      <w:tr w:rsidR="00000000">
        <w:trPr>
          <w:divId w:val="1624191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Kritická premenná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Popis</w:t>
            </w:r>
          </w:p>
        </w:tc>
      </w:tr>
      <w:tr w:rsidR="00000000">
        <w:trPr>
          <w:divId w:val="16241917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KP_X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 xml:space="preserve">Kritické premenné sú tie, pri </w:t>
            </w:r>
            <w:r>
              <w:t>ktorých odchýlka 1 % spôsobí odchýlku viac ako 1 % hodnoty NPV.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Údaje sa nachádzajú v rámci prílohy CBA, hárok - Analýza citlivosti - Agendové IS</w:t>
            </w:r>
          </w:p>
        </w:tc>
      </w:tr>
    </w:tbl>
    <w:p w:rsidR="00000000" w:rsidRDefault="00F9725D">
      <w:pPr>
        <w:pStyle w:val="Normlnywebov"/>
      </w:pPr>
      <w:r>
        <w:t> </w:t>
      </w:r>
    </w:p>
    <w:p w:rsidR="00000000" w:rsidRDefault="00F9725D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F9725D">
      <w:pPr>
        <w:pStyle w:val="Normlnywebov"/>
      </w:pPr>
      <w:r>
        <w:t xml:space="preserve">(23) Ďalšie prílohy pre uskutočnenie finančnej, ekonomickej analýzy a </w:t>
      </w:r>
      <w:r>
        <w:t>analýzy citlivosti sa nachádzajú v prílohe materiálu „Metodický pokyn k vypracovaniu finančnej analýzy projektu, analýzy nákladov a prínosov projektu a finančnej analýzy žiadateľa o NFP v programovom období 2014 – 2020. 2015“.</w:t>
      </w:r>
    </w:p>
    <w:p w:rsidR="00000000" w:rsidRDefault="00F9725D">
      <w:pPr>
        <w:pStyle w:val="Nadpis2"/>
        <w:rPr>
          <w:rFonts w:eastAsia="Times New Roman"/>
        </w:rPr>
      </w:pPr>
      <w:r>
        <w:rPr>
          <w:rFonts w:eastAsia="Times New Roman"/>
        </w:rPr>
        <w:t>Test štátnej pomoci</w:t>
      </w:r>
    </w:p>
    <w:p w:rsidR="00000000" w:rsidRDefault="00F9725D">
      <w:pPr>
        <w:pStyle w:val="Normlnywebov"/>
      </w:pPr>
      <w:r>
        <w:t>Kontrolné</w:t>
      </w:r>
      <w:r>
        <w:t xml:space="preserve"> otázky pre hodnotenie testu štátnej pomoci.</w:t>
      </w:r>
      <w:r>
        <w:br/>
      </w:r>
      <w:r>
        <w:rPr>
          <w:rStyle w:val="Zvraznenie"/>
          <w:color w:val="44546A"/>
        </w:rPr>
        <w:t>Tabuľka 31 Test štátnej pomoci</w:t>
      </w:r>
      <w:r>
        <w:rPr>
          <w:color w:val="44546A"/>
        </w:rPr>
        <w:t xml:space="preserve"> </w:t>
      </w:r>
      <w:r>
        <w:br/>
      </w:r>
      <w:r>
        <w:rPr>
          <w:rStyle w:val="Zvraznenie"/>
          <w:color w:val="44546A"/>
        </w:rPr>
        <w:t>Údaje sa vypĺňajú manuálne.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588"/>
        <w:gridCol w:w="2587"/>
        <w:gridCol w:w="2843"/>
      </w:tblGrid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Kontrolná otázka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A/N/NA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Bližšia špecifikácia odpovede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Je možné oprávnené aktivity, resp. činnosti žiadateľov v danej výzve kvalifikovať ako činnosti „nehospodárskeho" charakteru v zmysle pravidiel štátnej pomoci?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A (áno, nakoľko všetky činnosti sú výkonom verejnej moci. ÚV SR ako správca (resp. NASES ako prev</w:t>
            </w:r>
            <w:r>
              <w:t>ádzkovateľ IS) v zmysle zákona č. 275/2006 Z. z. o IS VS a zákona č. 305/2013 Z. z. o e-Governmente.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Zvraznenie"/>
              </w:rPr>
              <w:t>(Napr. je možné preukázať, že vykonávané činnosti sú výkonom verejnej moci alebo ide o služby čisto sociálnej povahy? Ak odpoveď je áno, ďalej sa neuplatňu</w:t>
            </w:r>
            <w:r>
              <w:rPr>
                <w:rStyle w:val="Zvraznenie"/>
              </w:rPr>
              <w:t>jú pravidlá o štátnej pomoci, otázky 2, 3, 4, 5 sú irelevantné, vypĺňa sa „neuplatňuje".)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Je možné oprávnené aktivity resp. činnosti žiadateľov v danej výzve kvalifikovať ako „hospodárske" v zmysle pravidiel štátnej pomoci?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 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Sú splnené všetky kri</w:t>
            </w:r>
            <w:r>
              <w:t>téria (kumulovane) definované článkom 107 ods. 1 Zmluvy o fungovaní EÚ: a) prevod verejných zdrojov a pripísateľnosť štátu, b) ekonomické zvýhodnenie príjemcu pomoci, c) selektívnosť poskytnutej pomoci, d) narušenie hospodárskej súťaže alebo hrozba narušen</w:t>
            </w:r>
            <w:r>
              <w:t>ia hospodárskej súťaže a vplyv na vnútorný obchod medzi členskými štátmi?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Zvraznenie"/>
              </w:rPr>
              <w:t>(V prípade negatívnej odpovede je potrebné zdôvodniť ktoré kritérium nebolo splnené vrátane podrobnej identifikácie dôvodu prečo nebolo splené. Pre účely nesplnenia podmienok štát</w:t>
            </w:r>
            <w:r>
              <w:rPr>
                <w:rStyle w:val="Zvraznenie"/>
              </w:rPr>
              <w:t>nej pomoci je postačujúce nesplnenie minimálne jedného kritéria.)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Sú splnené všetky kritéria (kumulovane) definované pre služby všeobecného hospodárskeho záujmu (v zmysle rozsudku Altmark C-280/00) vrátane osobitného charakteru služby: a) podnik, ktorém</w:t>
            </w:r>
            <w:r>
              <w:t xml:space="preserve">u bola poskytnutá pomoc bol poverený realizáciou záväzkov služby vo verejnom záujme a tieto záväzky boli jasne definované, </w:t>
            </w:r>
            <w:r>
              <w:br/>
              <w:t xml:space="preserve">b) kritériá, na základe ktorých je vypočítaná kompenzácia boli vopred určené objektívnym a transparentným spôsobom , </w:t>
            </w:r>
            <w:r>
              <w:br/>
              <w:t>c) kompenzácia</w:t>
            </w:r>
            <w:r>
              <w:t xml:space="preserve"> nepresahuje sumu nevyhnutnú na pokrytie všetkých výdavkov alebo ich časti vzniknutých pri plnení záväzkov služieb vo verejnom záujme, zohľadniac pri tom súvisiace príjmy ako aj primeraný zisk , </w:t>
            </w:r>
            <w:r>
              <w:br/>
              <w:t>d) ak sa výber podniku povereného realizáciou záväzkov služi</w:t>
            </w:r>
            <w:r>
              <w:t>eb vo verejnom záujme neuskutočnil prostredníctvom výberového konania v rámci verejnej súťaže, výška nevyhnutnej kompenzácie je určená na základe analýzy výdavkov, ktoré by stredne veľký podnik, dobre riadený a primerane vybavený prostriedkami vynaložil pr</w:t>
            </w:r>
            <w:r>
              <w:t>i realizácii týchto záväzkov, zohľadniac pri tom súvisiace príjmy ako aj primeraný zisk pri realizácii týchto záväzkov?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Zvraznenie"/>
              </w:rPr>
              <w:t>(Poskytovateľ pomoci zdôvodní splnenie jednotlivých kritérií a podmienky osobitného charakteru služby.)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Je možné pomoc zo strany poskytovateľa pomoci definovať v rámci podmienok minimálnej pomoci?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t>NA</w:t>
            </w:r>
          </w:p>
        </w:tc>
        <w:tc>
          <w:tcPr>
            <w:tcW w:w="0" w:type="auto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Zvraznenie"/>
              </w:rPr>
              <w:t>(Iba pre účely pomoci de</w:t>
            </w:r>
            <w:r>
              <w:t xml:space="preserve"> </w:t>
            </w:r>
            <w:r>
              <w:rPr>
                <w:rStyle w:val="Zvraznenie"/>
              </w:rPr>
              <w:t>minimis vrátane pomoci de</w:t>
            </w:r>
            <w:r>
              <w:t xml:space="preserve"> </w:t>
            </w:r>
            <w:r>
              <w:rPr>
                <w:rStyle w:val="Zvraznenie"/>
              </w:rPr>
              <w:t>minimis SVHZ.)</w:t>
            </w:r>
          </w:p>
        </w:tc>
      </w:tr>
      <w:tr w:rsidR="00000000">
        <w:trPr>
          <w:divId w:val="8022964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Vyhodnotenie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9725D">
            <w:pPr>
              <w:pStyle w:val="Normlnywebov"/>
            </w:pPr>
            <w:r>
              <w:rPr>
                <w:rStyle w:val="Siln"/>
              </w:rPr>
              <w:t>Nie je štátna pomoc</w:t>
            </w:r>
          </w:p>
        </w:tc>
      </w:tr>
    </w:tbl>
    <w:p w:rsidR="00000000" w:rsidRDefault="00F9725D">
      <w:pPr>
        <w:divId w:val="8022964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5656"/>
    <w:multiLevelType w:val="multilevel"/>
    <w:tmpl w:val="F8D8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66FD1"/>
    <w:multiLevelType w:val="multilevel"/>
    <w:tmpl w:val="E1E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725D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3273-156A-48CD-A6AD-4C771EB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/>
    </w:pPr>
  </w:style>
  <w:style w:type="character" w:customStyle="1" w:styleId="confluence-anchor-link">
    <w:name w:val="confluence-anchor-link"/>
    <w:basedOn w:val="Predvolenpsmoodseku"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customStyle="1" w:styleId="inline-comment-marker">
    <w:name w:val="inline-comment-marker"/>
    <w:basedOn w:val="Predvolenpsmoodseku"/>
  </w:style>
  <w:style w:type="paragraph" w:customStyle="1" w:styleId="bullet">
    <w:name w:val="bullet"/>
    <w:basedOn w:val="Norm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echnical_support" TargetMode="External"/><Relationship Id="rId13" Type="http://schemas.openxmlformats.org/officeDocument/2006/relationships/hyperlink" Target="http://en.wikipedia.org/wiki/Recovery_time_objectiv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/GOVNET/SU-su_119%20Pr%C3%ADlohy%20Verzia%201.docx" TargetMode="External"/><Relationship Id="rId12" Type="http://schemas.openxmlformats.org/officeDocument/2006/relationships/hyperlink" Target="http://en.wikipedia.org/wiki/Technical_suppo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P:/GOVNET/SU-su_119%20Pr%C3%ADlohy%20Verzia%201.docx" TargetMode="External"/><Relationship Id="rId11" Type="http://schemas.openxmlformats.org/officeDocument/2006/relationships/hyperlink" Target="http://en.wikipedia.org/wiki/Recovery_time_objective" TargetMode="External"/><Relationship Id="rId5" Type="http://schemas.openxmlformats.org/officeDocument/2006/relationships/hyperlink" Target="http://en.wikipedia.org/wiki/Standard_RAID_levels" TargetMode="External"/><Relationship Id="rId15" Type="http://schemas.openxmlformats.org/officeDocument/2006/relationships/hyperlink" Target="http://en.wikipedia.org/wiki/Recovery_time_objective" TargetMode="External"/><Relationship Id="rId10" Type="http://schemas.openxmlformats.org/officeDocument/2006/relationships/hyperlink" Target="http://en.wikipedia.org/wiki/Technical_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ecovery_time_objective" TargetMode="External"/><Relationship Id="rId14" Type="http://schemas.openxmlformats.org/officeDocument/2006/relationships/hyperlink" Target="http://en.wikipedia.org/wiki/Technical_suppor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6053</Words>
  <Characters>43221</Characters>
  <Application>Microsoft Office Word</Application>
  <DocSecurity>0</DocSecurity>
  <Lines>360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SU-su_119</vt:lpstr>
    </vt:vector>
  </TitlesOfParts>
  <Company/>
  <LinksUpToDate>false</LinksUpToDate>
  <CharactersWithSpaces>49176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SU-su_119</dc:title>
  <dc:subject/>
  <dc:creator>Michal Seliga</dc:creator>
  <cp:keywords/>
  <dc:description/>
  <cp:lastModifiedBy>Michal Seliga</cp:lastModifiedBy>
  <cp:revision>2</cp:revision>
  <dcterms:created xsi:type="dcterms:W3CDTF">2018-10-01T13:13:00Z</dcterms:created>
  <dcterms:modified xsi:type="dcterms:W3CDTF">2018-10-01T13:13:00Z</dcterms:modified>
</cp:coreProperties>
</file>